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8" w:type="dxa"/>
        <w:tblInd w:w="-72" w:type="dxa"/>
        <w:tblLook w:val="0000" w:firstRow="0" w:lastRow="0" w:firstColumn="0" w:lastColumn="0" w:noHBand="0" w:noVBand="0"/>
      </w:tblPr>
      <w:tblGrid>
        <w:gridCol w:w="3295"/>
        <w:gridCol w:w="6133"/>
      </w:tblGrid>
      <w:tr>
        <w:trPr>
          <w:trHeight w:val="1079"/>
        </w:trPr>
        <w:tc>
          <w:tcPr>
            <w:tcW w:w="3295" w:type="dxa"/>
          </w:tcPr>
          <w:p>
            <w:pPr>
              <w:keepNext/>
              <w:widowControl w:val="0"/>
              <w:spacing w:after="0" w:line="240" w:lineRule="auto"/>
              <w:jc w:val="center"/>
              <w:rPr>
                <w:rFonts w:eastAsia="Times New Roman" w:cs="Times New Roman"/>
                <w:b/>
                <w:bCs/>
                <w:color w:val="000000" w:themeColor="text1"/>
                <w:position w:val="6"/>
                <w:szCs w:val="28"/>
              </w:rPr>
            </w:pPr>
            <w:r>
              <w:rPr>
                <w:rFonts w:eastAsia="Times New Roman" w:cs="Times New Roman"/>
                <w:b/>
                <w:color w:val="000000" w:themeColor="text1"/>
                <w:position w:val="6"/>
                <w:szCs w:val="28"/>
              </w:rPr>
              <w:t xml:space="preserve">   </w:t>
            </w:r>
            <w:r>
              <w:rPr>
                <w:rFonts w:eastAsia="Times New Roman" w:cs="Times New Roman"/>
                <w:b/>
                <w:bCs/>
                <w:color w:val="000000" w:themeColor="text1"/>
                <w:position w:val="6"/>
                <w:szCs w:val="28"/>
              </w:rPr>
              <w:t>ỦY BAN NHÂN DÂN</w:t>
            </w:r>
          </w:p>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XÃ PHÚ TRẠCH</w:t>
            </w:r>
          </w:p>
          <w:p>
            <w:pPr>
              <w:keepNext/>
              <w:widowControl w:val="0"/>
              <w:spacing w:after="0" w:line="240" w:lineRule="auto"/>
              <w:jc w:val="center"/>
              <w:rPr>
                <w:rFonts w:eastAsia="Times New Roman" w:cs="Times New Roman"/>
                <w:b/>
                <w:color w:val="000000" w:themeColor="text1"/>
                <w:position w:val="6"/>
                <w:sz w:val="22"/>
              </w:rPr>
            </w:pPr>
            <w:r>
              <w:rPr>
                <w:rFonts w:eastAsia="Times New Roman" w:cs="Times New Roman"/>
                <w:b/>
                <w:noProof/>
                <w:color w:val="000000" w:themeColor="text1"/>
                <w:position w:val="6"/>
                <w:szCs w:val="28"/>
              </w:rPr>
              <mc:AlternateContent>
                <mc:Choice Requires="wps">
                  <w:drawing>
                    <wp:anchor distT="0" distB="0" distL="114300" distR="114300" simplePos="0" relativeHeight="251660288" behindDoc="0" locked="0" layoutInCell="1" allowOverlap="1">
                      <wp:simplePos x="0" y="0"/>
                      <wp:positionH relativeFrom="column">
                        <wp:posOffset>713105</wp:posOffset>
                      </wp:positionH>
                      <wp:positionV relativeFrom="paragraph">
                        <wp:posOffset>10160</wp:posOffset>
                      </wp:positionV>
                      <wp:extent cx="600075" cy="0"/>
                      <wp:effectExtent l="9525" t="9525" r="9525" b="9525"/>
                      <wp:wrapNone/>
                      <wp:docPr id="3"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5EE3E" id="Lines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8pt" to="10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"/>
                  </w:pict>
                </mc:Fallback>
              </mc:AlternateContent>
            </w:r>
          </w:p>
          <w:p>
            <w:pPr>
              <w:keepNext/>
              <w:widowControl w:val="0"/>
              <w:spacing w:after="0" w:line="240" w:lineRule="auto"/>
              <w:jc w:val="center"/>
              <w:rPr>
                <w:rFonts w:eastAsia="Times New Roman" w:cs="Times New Roman"/>
                <w:color w:val="000000" w:themeColor="text1"/>
                <w:position w:val="6"/>
                <w:szCs w:val="28"/>
              </w:rPr>
            </w:pPr>
            <w:r>
              <w:rPr>
                <w:rFonts w:eastAsia="Times New Roman" w:cs="Times New Roman"/>
                <w:b/>
                <w:color w:val="000000" w:themeColor="text1"/>
                <w:position w:val="6"/>
                <w:szCs w:val="28"/>
              </w:rPr>
              <w:t xml:space="preserve">    </w:t>
            </w:r>
            <w:r>
              <w:rPr>
                <w:rFonts w:eastAsia="Times New Roman" w:cs="Times New Roman"/>
                <w:color w:val="000000" w:themeColor="text1"/>
                <w:position w:val="6"/>
                <w:szCs w:val="28"/>
              </w:rPr>
              <w:t>Số:         /BC-UBND</w:t>
            </w:r>
          </w:p>
        </w:tc>
        <w:tc>
          <w:tcPr>
            <w:tcW w:w="6133" w:type="dxa"/>
          </w:tcPr>
          <w:p>
            <w:pPr>
              <w:keepNext/>
              <w:widowControl w:val="0"/>
              <w:spacing w:after="0" w:line="240" w:lineRule="auto"/>
              <w:jc w:val="center"/>
              <w:rPr>
                <w:rFonts w:eastAsia="Times New Roman" w:cs="Times New Roman"/>
                <w:b/>
                <w:bCs/>
                <w:color w:val="000000" w:themeColor="text1"/>
                <w:position w:val="6"/>
                <w:szCs w:val="28"/>
              </w:rPr>
            </w:pPr>
            <w:r>
              <w:rPr>
                <w:rFonts w:eastAsia="Times New Roman" w:cs="Times New Roman"/>
                <w:b/>
                <w:color w:val="000000" w:themeColor="text1"/>
                <w:position w:val="6"/>
                <w:szCs w:val="28"/>
              </w:rPr>
              <w:t xml:space="preserve"> </w:t>
            </w:r>
            <w:r>
              <w:rPr>
                <w:rFonts w:eastAsia="Times New Roman" w:cs="Times New Roman"/>
                <w:b/>
                <w:bCs/>
                <w:color w:val="000000" w:themeColor="text1"/>
                <w:position w:val="6"/>
                <w:szCs w:val="28"/>
              </w:rPr>
              <w:t>CỘNG HÒA XÃ HỘI CHỦ NGHĨA VIỆT NAM</w:t>
            </w:r>
          </w:p>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Độc lập - Tự do - Hạnh phúc</w:t>
            </w:r>
          </w:p>
          <w:p>
            <w:pPr>
              <w:keepNext/>
              <w:widowControl w:val="0"/>
              <w:tabs>
                <w:tab w:val="center" w:pos="2958"/>
              </w:tabs>
              <w:spacing w:after="0" w:line="240" w:lineRule="auto"/>
              <w:rPr>
                <w:rFonts w:eastAsia="Times New Roman" w:cs="Times New Roman"/>
                <w:b/>
                <w:color w:val="000000" w:themeColor="text1"/>
                <w:position w:val="6"/>
                <w:sz w:val="24"/>
                <w:szCs w:val="24"/>
              </w:rPr>
            </w:pPr>
            <w:r>
              <w:rPr>
                <w:rFonts w:eastAsia="Times New Roman" w:cs="Times New Roman"/>
                <w:b/>
                <w:color w:val="000000" w:themeColor="text1"/>
                <w:position w:val="6"/>
                <w:sz w:val="24"/>
                <w:szCs w:val="24"/>
              </w:rPr>
              <w:tab/>
            </w:r>
            <w:r>
              <w:rPr>
                <w:rFonts w:eastAsia="Times New Roman" w:cs="Times New Roman"/>
                <w:b/>
                <w:noProof/>
                <w:color w:val="000000" w:themeColor="text1"/>
                <w:position w:val="6"/>
                <w:sz w:val="24"/>
                <w:szCs w:val="24"/>
              </w:rPr>
              <mc:AlternateContent>
                <mc:Choice Requires="wps">
                  <w:drawing>
                    <wp:anchor distT="0" distB="0" distL="114300" distR="114300" simplePos="0" relativeHeight="251659264" behindDoc="0" locked="0" layoutInCell="1" allowOverlap="1">
                      <wp:simplePos x="0" y="0"/>
                      <wp:positionH relativeFrom="column">
                        <wp:posOffset>964565</wp:posOffset>
                      </wp:positionH>
                      <wp:positionV relativeFrom="paragraph">
                        <wp:posOffset>6350</wp:posOffset>
                      </wp:positionV>
                      <wp:extent cx="2168285" cy="0"/>
                      <wp:effectExtent l="0" t="0" r="0" b="0"/>
                      <wp:wrapNone/>
                      <wp:docPr id="2"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828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10E2BF" id="Lines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5pt" to="246.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"/>
                  </w:pict>
                </mc:Fallback>
              </mc:AlternateContent>
            </w:r>
          </w:p>
          <w:p>
            <w:pPr>
              <w:keepNext/>
              <w:widowControl w:val="0"/>
              <w:spacing w:after="0" w:line="240" w:lineRule="auto"/>
              <w:jc w:val="center"/>
              <w:rPr>
                <w:rFonts w:eastAsia="Times New Roman" w:cs="Times New Roman"/>
                <w:color w:val="000000" w:themeColor="text1"/>
                <w:position w:val="6"/>
                <w:szCs w:val="28"/>
              </w:rPr>
            </w:pPr>
            <w:r>
              <w:rPr>
                <w:rFonts w:eastAsia="Times New Roman" w:cs="Times New Roman"/>
                <w:b/>
                <w:i/>
                <w:iCs/>
                <w:color w:val="000000" w:themeColor="text1"/>
                <w:position w:val="6"/>
                <w:szCs w:val="28"/>
              </w:rPr>
              <w:t xml:space="preserve">             </w:t>
            </w:r>
            <w:r>
              <w:rPr>
                <w:rFonts w:eastAsia="Times New Roman" w:cs="Times New Roman"/>
                <w:i/>
                <w:iCs/>
                <w:color w:val="000000" w:themeColor="text1"/>
                <w:position w:val="6"/>
                <w:szCs w:val="28"/>
              </w:rPr>
              <w:t>Phú Trạch, ngày       tháng 5  năm 2026</w:t>
            </w:r>
          </w:p>
        </w:tc>
      </w:tr>
    </w:tbl>
    <w:p>
      <w:pPr>
        <w:keepNext/>
        <w:widowControl w:val="0"/>
        <w:tabs>
          <w:tab w:val="left" w:pos="1056"/>
        </w:tabs>
        <w:spacing w:after="0" w:line="240" w:lineRule="auto"/>
        <w:jc w:val="center"/>
        <w:rPr>
          <w:rFonts w:eastAsia="Times New Roman" w:cs="Times New Roman"/>
          <w:b/>
          <w:color w:val="000000" w:themeColor="text1"/>
          <w:position w:val="6"/>
          <w:szCs w:val="28"/>
        </w:rPr>
      </w:pPr>
      <w:r>
        <w:rPr>
          <w:b/>
          <w:bCs/>
          <w:noProof/>
          <w:color w:val="000000" w:themeColor="text1"/>
        </w:rPr>
        <mc:AlternateContent>
          <mc:Choice Requires="wps">
            <w:drawing>
              <wp:anchor distT="0" distB="0" distL="114300" distR="114300" simplePos="0" relativeHeight="251664384" behindDoc="0" locked="0" layoutInCell="1" allowOverlap="1">
                <wp:simplePos x="0" y="0"/>
                <wp:positionH relativeFrom="column">
                  <wp:posOffset>489586</wp:posOffset>
                </wp:positionH>
                <wp:positionV relativeFrom="paragraph">
                  <wp:posOffset>17780</wp:posOffset>
                </wp:positionV>
                <wp:extent cx="1021080" cy="322729"/>
                <wp:effectExtent l="0" t="0" r="26670" b="20320"/>
                <wp:wrapNone/>
                <wp:docPr id="1379222673" name="Text Box 4"/>
                <wp:cNvGraphicFramePr/>
                <a:graphic xmlns:a="http://schemas.openxmlformats.org/drawingml/2006/main">
                  <a:graphicData uri="http://schemas.microsoft.com/office/word/2010/wordprocessingShape">
                    <wps:wsp>
                      <wps:cNvSpPr txBox="1"/>
                      <wps:spPr>
                        <a:xfrm>
                          <a:off x="0" y="0"/>
                          <a:ext cx="1021080" cy="322729"/>
                        </a:xfrm>
                        <a:prstGeom prst="rect">
                          <a:avLst/>
                        </a:prstGeom>
                        <a:solidFill>
                          <a:schemeClr val="lt1"/>
                        </a:solidFill>
                        <a:ln w="6350">
                          <a:solidFill>
                            <a:prstClr val="black"/>
                          </a:solidFill>
                        </a:ln>
                      </wps:spPr>
                      <wps:txbx>
                        <w:txbxContent>
                          <w:p>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8.55pt;margin-top:1.4pt;width:80.4pt;height:25.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" fillcolor="white [3201]" strokeweight=".5pt">
                <v:textbox>
                  <w:txbxContent>
                    <w:p>
                      <w:pPr>
                        <w:jc w:val="center"/>
                      </w:pPr>
                      <w:r>
                        <w:t>DỰ THẢO</w:t>
                      </w:r>
                    </w:p>
                  </w:txbxContent>
                </v:textbox>
              </v:shape>
            </w:pict>
          </mc:Fallback>
        </mc:AlternateContent>
      </w:r>
    </w:p>
    <w:p>
      <w:pPr>
        <w:keepNext/>
        <w:widowControl w:val="0"/>
        <w:tabs>
          <w:tab w:val="left" w:pos="1056"/>
        </w:tabs>
        <w:spacing w:after="0" w:line="240" w:lineRule="auto"/>
        <w:rPr>
          <w:rFonts w:eastAsia="Times New Roman" w:cs="Times New Roman"/>
          <w:b/>
          <w:color w:val="000000" w:themeColor="text1"/>
          <w:position w:val="6"/>
          <w:sz w:val="22"/>
        </w:rPr>
      </w:pPr>
    </w:p>
    <w:p>
      <w:pPr>
        <w:keepNext/>
        <w:widowControl w:val="0"/>
        <w:tabs>
          <w:tab w:val="left" w:pos="1056"/>
        </w:tabs>
        <w:spacing w:after="0" w:line="240" w:lineRule="auto"/>
        <w:ind w:left="3264" w:firstLine="1056"/>
        <w:rPr>
          <w:rFonts w:eastAsia="Times New Roman" w:cs="Times New Roman"/>
          <w:b/>
          <w:color w:val="000000" w:themeColor="text1"/>
          <w:position w:val="6"/>
          <w:szCs w:val="28"/>
        </w:rPr>
      </w:pPr>
      <w:r>
        <w:rPr>
          <w:rFonts w:eastAsia="Times New Roman" w:cs="Times New Roman"/>
          <w:b/>
          <w:color w:val="000000" w:themeColor="text1"/>
          <w:position w:val="6"/>
          <w:szCs w:val="28"/>
        </w:rPr>
        <w:t>BÁO CÁO</w:t>
      </w:r>
    </w:p>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Tình hình kinh tế - xã hội tháng 5</w:t>
      </w:r>
    </w:p>
    <w:p>
      <w:pPr>
        <w:keepNext/>
        <w:widowControl w:val="0"/>
        <w:spacing w:after="0" w:line="240" w:lineRule="auto"/>
        <w:jc w:val="center"/>
        <w:rPr>
          <w:rFonts w:eastAsia="Times New Roman" w:cs="Times New Roman"/>
          <w:b/>
          <w:color w:val="000000" w:themeColor="text1"/>
          <w:position w:val="6"/>
          <w:szCs w:val="28"/>
        </w:rPr>
      </w:pPr>
      <w:r>
        <w:rPr>
          <w:rFonts w:cs="Times New Roman"/>
          <w:b/>
          <w:noProof/>
          <w:color w:val="000000" w:themeColor="text1"/>
          <w:position w:val="6"/>
          <w:szCs w:val="28"/>
        </w:rPr>
        <mc:AlternateContent>
          <mc:Choice Requires="wps">
            <w:drawing>
              <wp:anchor distT="0" distB="0" distL="114300" distR="114300" simplePos="0" relativeHeight="251661312" behindDoc="0" locked="0" layoutInCell="1" allowOverlap="1">
                <wp:simplePos x="0" y="0"/>
                <wp:positionH relativeFrom="margin">
                  <wp:posOffset>2303780</wp:posOffset>
                </wp:positionH>
                <wp:positionV relativeFrom="paragraph">
                  <wp:posOffset>203200</wp:posOffset>
                </wp:positionV>
                <wp:extent cx="14700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7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53B859" id="Straight Connector 1"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81.4pt,16pt" to="297.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" strokecolor="black [3200]" strokeweight=".5pt">
                <v:stroke joinstyle="miter"/>
                <w10:wrap anchorx="margin"/>
              </v:line>
            </w:pict>
          </mc:Fallback>
        </mc:AlternateContent>
      </w:r>
      <w:r>
        <w:rPr>
          <w:rFonts w:eastAsia="Times New Roman" w:cs="Times New Roman"/>
          <w:b/>
          <w:color w:val="000000" w:themeColor="text1"/>
          <w:position w:val="6"/>
          <w:szCs w:val="28"/>
        </w:rPr>
        <w:t xml:space="preserve">  và nhiệm vụ trọng tâm tháng 6 năm 2026</w:t>
      </w:r>
    </w:p>
    <w:p>
      <w:pPr>
        <w:keepNext/>
        <w:widowControl w:val="0"/>
        <w:spacing w:before="120" w:after="120" w:line="240" w:lineRule="auto"/>
        <w:ind w:firstLine="720"/>
        <w:jc w:val="both"/>
        <w:rPr>
          <w:rFonts w:eastAsia="Times New Roman" w:cs="Times New Roman"/>
          <w:b/>
          <w:color w:val="000000" w:themeColor="text1"/>
          <w:position w:val="6"/>
          <w:szCs w:val="28"/>
        </w:rPr>
      </w:pPr>
    </w:p>
    <w:p>
      <w:pPr>
        <w:widowControl w:val="0"/>
        <w:spacing w:after="0" w:line="360" w:lineRule="exact"/>
        <w:ind w:firstLine="567"/>
        <w:jc w:val="both"/>
        <w:rPr>
          <w:rFonts w:cs="Times New Roman"/>
          <w:b/>
          <w:color w:val="000000" w:themeColor="text1"/>
          <w:szCs w:val="28"/>
        </w:rPr>
      </w:pPr>
      <w:r>
        <w:rPr>
          <w:rFonts w:cs="Times New Roman"/>
          <w:b/>
          <w:color w:val="000000" w:themeColor="text1"/>
          <w:szCs w:val="28"/>
        </w:rPr>
        <w:t xml:space="preserve">I. TÌNH HÌNH KINH TẾ - XÃ HỘI </w:t>
      </w:r>
    </w:p>
    <w:p>
      <w:pPr>
        <w:widowControl w:val="0"/>
        <w:spacing w:after="0" w:line="360" w:lineRule="exact"/>
        <w:ind w:firstLine="567"/>
        <w:jc w:val="both"/>
        <w:rPr>
          <w:rFonts w:cs="Times New Roman"/>
          <w:b/>
          <w:bCs/>
          <w:color w:val="000000" w:themeColor="text1"/>
          <w:szCs w:val="28"/>
        </w:rPr>
      </w:pPr>
      <w:r>
        <w:rPr>
          <w:rFonts w:cs="Times New Roman"/>
          <w:b/>
          <w:bCs/>
          <w:color w:val="000000" w:themeColor="text1"/>
          <w:szCs w:val="28"/>
        </w:rPr>
        <w:t>1. Kinh tế</w:t>
      </w:r>
    </w:p>
    <w:p>
      <w:pPr>
        <w:pStyle w:val="BodyText"/>
        <w:widowControl w:val="0"/>
        <w:spacing w:after="0" w:line="360" w:lineRule="exact"/>
        <w:ind w:firstLine="567"/>
        <w:jc w:val="both"/>
        <w:rPr>
          <w:b/>
          <w:bCs/>
          <w:i/>
          <w:iCs/>
          <w:color w:val="000000" w:themeColor="text1"/>
        </w:rPr>
      </w:pPr>
      <w:r>
        <w:rPr>
          <w:b/>
          <w:bCs/>
          <w:i/>
          <w:iCs/>
          <w:color w:val="000000" w:themeColor="text1"/>
        </w:rPr>
        <w:t>1.1. Sản xuất Nông - Lâm - Ngư và Diêm nghiệp</w:t>
      </w:r>
    </w:p>
    <w:p>
      <w:pPr>
        <w:widowControl w:val="0"/>
        <w:spacing w:after="0" w:line="360" w:lineRule="exact"/>
        <w:ind w:firstLine="567"/>
        <w:jc w:val="both"/>
        <w:rPr>
          <w:rFonts w:cs="Times New Roman"/>
          <w:i/>
          <w:iCs/>
          <w:color w:val="000000" w:themeColor="text1"/>
          <w:szCs w:val="28"/>
        </w:rPr>
      </w:pPr>
      <w:r>
        <w:rPr>
          <w:rFonts w:cs="Times New Roman"/>
          <w:i/>
          <w:iCs/>
          <w:color w:val="000000" w:themeColor="text1"/>
          <w:szCs w:val="28"/>
        </w:rPr>
        <w:t>1.1.1. Trồng trọt</w:t>
      </w:r>
    </w:p>
    <w:p>
      <w:pPr>
        <w:spacing w:after="0" w:line="360" w:lineRule="exact"/>
        <w:ind w:firstLine="567"/>
        <w:jc w:val="both"/>
        <w:outlineLvl w:val="0"/>
        <w:rPr>
          <w:rFonts w:cs="Times New Roman"/>
          <w:color w:val="000000" w:themeColor="text1"/>
          <w:szCs w:val="28"/>
        </w:rPr>
      </w:pPr>
      <w:r>
        <w:rPr>
          <w:rFonts w:cs="Times New Roman"/>
          <w:color w:val="000000" w:themeColor="text1"/>
          <w:szCs w:val="28"/>
        </w:rPr>
        <w:t>Vụ Đông Xuân 2025-2026 thời tiết thuận lợi, không xảy ra rét đậm, rét hại đầu vụ, giai đoạn lúa trổ - phơi mau thời tiết nắng ấm, tình hình sâu bệnh trong vụ không phát sinh gây hại trên diện rộng nên năng suất cây trồng khá. Các cây màu như Ngô, lạc, đậu đỗ năng suất cao.</w:t>
      </w:r>
    </w:p>
    <w:p>
      <w:pPr>
        <w:spacing w:after="0" w:line="360" w:lineRule="exact"/>
        <w:ind w:firstLine="567"/>
        <w:jc w:val="both"/>
        <w:outlineLvl w:val="0"/>
      </w:pPr>
      <w:r>
        <w:t>Diện tích sản xuất vụ Đông Xuân 1.117,5 ha (đạt 100% kế hoạch). Trong đó cây lúa: 750,5 ha (đạt 100% kế hoạch) năng suất lúa bình quân đạt 64 tạ/ha. Diện tích các cây màu: 367ha, đạt 100% kế hoạch</w:t>
      </w:r>
      <w:r>
        <w:rPr>
          <w:bCs/>
          <w:vertAlign w:val="superscript"/>
        </w:rPr>
        <w:t xml:space="preserve"> (</w:t>
      </w:r>
      <w:r>
        <w:rPr>
          <w:rStyle w:val="FootnoteReference"/>
          <w:bCs/>
          <w:szCs w:val="28"/>
        </w:rPr>
        <w:footnoteReference w:id="1"/>
      </w:r>
      <w:r>
        <w:rPr>
          <w:bCs/>
          <w:vertAlign w:val="superscript"/>
        </w:rPr>
        <w:t xml:space="preserve">)  </w:t>
      </w:r>
    </w:p>
    <w:p>
      <w:pPr>
        <w:spacing w:after="0" w:line="360" w:lineRule="exact"/>
        <w:ind w:firstLine="567"/>
        <w:jc w:val="both"/>
        <w:outlineLvl w:val="0"/>
        <w:rPr>
          <w:b/>
        </w:rPr>
      </w:pPr>
      <w:r>
        <w:rPr>
          <w:bCs/>
        </w:rPr>
        <w:t>Sản lượng lương thực vụ Đông Xuân ước đạt:</w:t>
      </w:r>
      <w:r>
        <w:rPr>
          <w:b/>
        </w:rPr>
        <w:t xml:space="preserve"> </w:t>
      </w:r>
      <w:r>
        <w:t>5.220,8 tấn</w:t>
      </w:r>
      <w:r>
        <w:rPr>
          <w:bCs/>
        </w:rPr>
        <w:t xml:space="preserve">, đạt 56,7% KH </w:t>
      </w:r>
    </w:p>
    <w:p>
      <w:pPr>
        <w:spacing w:after="0" w:line="360" w:lineRule="exact"/>
        <w:ind w:firstLine="567"/>
        <w:jc w:val="both"/>
        <w:outlineLvl w:val="0"/>
        <w:rPr>
          <w:rFonts w:cs="Times New Roman"/>
          <w:color w:val="000000" w:themeColor="text1"/>
          <w:szCs w:val="28"/>
        </w:rPr>
      </w:pPr>
      <w:r>
        <w:rPr>
          <w:rFonts w:cs="Times New Roman"/>
          <w:color w:val="000000" w:themeColor="text1"/>
          <w:szCs w:val="28"/>
        </w:rPr>
        <w:t>Tổ chức buổi làm việc với Trưởng các thôn và chủ các máy gặt để thống nhất giá máy gặt trên địa bàn.</w:t>
      </w:r>
    </w:p>
    <w:p>
      <w:pPr>
        <w:widowControl w:val="0"/>
        <w:spacing w:after="0" w:line="360" w:lineRule="exact"/>
        <w:ind w:firstLine="567"/>
        <w:jc w:val="both"/>
        <w:rPr>
          <w:rFonts w:cs="Times New Roman"/>
          <w:b/>
          <w:bCs/>
          <w:color w:val="000000" w:themeColor="text1"/>
          <w:szCs w:val="28"/>
        </w:rPr>
      </w:pPr>
      <w:r>
        <w:rPr>
          <w:rFonts w:cs="Times New Roman"/>
          <w:i/>
          <w:iCs/>
          <w:color w:val="000000" w:themeColor="text1"/>
          <w:szCs w:val="28"/>
        </w:rPr>
        <w:t>1.1.2. Chăn nuôi</w:t>
      </w:r>
    </w:p>
    <w:p>
      <w:pPr>
        <w:spacing w:after="0" w:line="360" w:lineRule="exact"/>
        <w:ind w:firstLine="567"/>
        <w:jc w:val="both"/>
        <w:outlineLvl w:val="0"/>
        <w:rPr>
          <w:rFonts w:cs="Times New Roman"/>
          <w:color w:val="000000" w:themeColor="text1"/>
          <w:szCs w:val="28"/>
        </w:rPr>
      </w:pPr>
      <w:r>
        <w:rPr>
          <w:rFonts w:cs="Times New Roman"/>
          <w:color w:val="000000" w:themeColor="text1"/>
          <w:szCs w:val="28"/>
        </w:rPr>
        <w:t>Triển khai tiêm phòng bắt buộc các loại vắc xin cho đàn gia súc, gia cầm và phòng dại cho đàn chó năm 2026 (đã triển khai tại 11/26 thôn). Triển khai Tháng vệ sinh tiêu độc khử trùng (tổ chức phun khử trùng tại 09 thôn và 02 chợ trên địa bàn); cấp phát 100 lít hóa chất cho các gia trại phục vụ công tác tiêu độc khử trùng. Chi trả hỗ trợ Dịch tả lợn Châu Phi cho người dân (đợt 1) năm 2025.</w:t>
      </w:r>
    </w:p>
    <w:p>
      <w:pPr>
        <w:widowControl w:val="0"/>
        <w:spacing w:after="0" w:line="360" w:lineRule="exact"/>
        <w:ind w:firstLine="567"/>
        <w:jc w:val="both"/>
        <w:rPr>
          <w:rFonts w:cs="Times New Roman"/>
          <w:i/>
          <w:iCs/>
          <w:color w:val="000000" w:themeColor="text1"/>
          <w:szCs w:val="28"/>
        </w:rPr>
      </w:pPr>
      <w:r>
        <w:rPr>
          <w:rFonts w:cs="Times New Roman"/>
          <w:i/>
          <w:iCs/>
          <w:color w:val="000000" w:themeColor="text1"/>
          <w:szCs w:val="28"/>
        </w:rPr>
        <w:t>1.1.3. Lâm Nghiệp</w:t>
      </w:r>
    </w:p>
    <w:p>
      <w:pPr>
        <w:pStyle w:val="BodyText"/>
        <w:widowControl w:val="0"/>
        <w:spacing w:after="0" w:line="360" w:lineRule="exact"/>
        <w:ind w:firstLine="567"/>
        <w:jc w:val="both"/>
        <w:rPr>
          <w:color w:val="000000" w:themeColor="text1"/>
        </w:rPr>
      </w:pPr>
      <w:r>
        <w:rPr>
          <w:color w:val="000000" w:themeColor="text1"/>
        </w:rPr>
        <w:t>Kiện toàn Ban chỉ đạo và ban hành quy chế hoạt động chương trình mục tiêu Quốc gia về phát triển lâm nghiệp bền vững năm 2026. Triển khai kế hoạch thực hiện và ban hành phương án phòng cháy chữa cháy rừng năm 2026. Tổ chức hướng dẫn, tuyên truyền, các hộ dân ký cam kết phòng chống, chữa cháy rừng trong mùa nắng nóng năm 2026.</w:t>
      </w:r>
    </w:p>
    <w:p>
      <w:pPr>
        <w:pStyle w:val="BodyText"/>
        <w:widowControl w:val="0"/>
        <w:spacing w:after="0" w:line="360" w:lineRule="exact"/>
        <w:ind w:firstLine="567"/>
        <w:jc w:val="both"/>
        <w:rPr>
          <w:b/>
          <w:bCs/>
          <w:color w:val="000000" w:themeColor="text1"/>
        </w:rPr>
      </w:pPr>
      <w:r>
        <w:rPr>
          <w:i/>
          <w:iCs/>
          <w:color w:val="000000" w:themeColor="text1"/>
        </w:rPr>
        <w:lastRenderedPageBreak/>
        <w:t>1.1.4. Thủy sản</w:t>
      </w:r>
    </w:p>
    <w:p>
      <w:pPr>
        <w:pStyle w:val="BodyText"/>
        <w:widowControl w:val="0"/>
        <w:spacing w:after="0" w:line="360" w:lineRule="exact"/>
        <w:ind w:firstLine="567"/>
        <w:jc w:val="both"/>
        <w:rPr>
          <w:color w:val="000000" w:themeColor="text1"/>
          <w:lang w:val="en-US"/>
        </w:rPr>
      </w:pPr>
      <w:r>
        <w:rPr>
          <w:color w:val="000000" w:themeColor="text1"/>
        </w:rPr>
        <w:t xml:space="preserve">Sản lượng khai thác và nuôi trồng ổn định. Phối hợp theo dõi 04 tàu cá không đủ điều kiện hoạt động và </w:t>
      </w:r>
      <w:r>
        <w:rPr>
          <w:color w:val="000000" w:themeColor="text1"/>
          <w:lang w:val="en-US"/>
        </w:rPr>
        <w:t>hướng dẫn chủ tàu thực hiện hoàn thiện hồ sơ, thủ tục theo đúng quy định của Luật Thủy sản năm 2017.</w:t>
      </w:r>
    </w:p>
    <w:p>
      <w:pPr>
        <w:pStyle w:val="BodyText"/>
        <w:widowControl w:val="0"/>
        <w:spacing w:after="0" w:line="360" w:lineRule="exact"/>
        <w:ind w:firstLine="567"/>
        <w:jc w:val="both"/>
        <w:rPr>
          <w:bCs/>
          <w:i/>
          <w:iCs/>
          <w:color w:val="000000" w:themeColor="text1"/>
        </w:rPr>
      </w:pPr>
      <w:r>
        <w:rPr>
          <w:bCs/>
          <w:i/>
          <w:iCs/>
          <w:color w:val="000000" w:themeColor="text1"/>
        </w:rPr>
        <w:t>1.1.5. Diêm nghiệp</w:t>
      </w:r>
    </w:p>
    <w:p>
      <w:pPr>
        <w:spacing w:after="0" w:line="360" w:lineRule="exact"/>
        <w:ind w:firstLine="567"/>
        <w:jc w:val="both"/>
        <w:rPr>
          <w:rFonts w:cs="Times New Roman"/>
          <w:color w:val="000000" w:themeColor="text1"/>
          <w:szCs w:val="28"/>
        </w:rPr>
      </w:pPr>
      <w:r>
        <w:rPr>
          <w:rFonts w:cs="Times New Roman"/>
          <w:color w:val="000000" w:themeColor="text1"/>
          <w:szCs w:val="28"/>
        </w:rPr>
        <w:t>Bắt đầu sản xuất từ 15/4/2026, đến nay sản lượng muối được 650 tấn.</w:t>
      </w:r>
    </w:p>
    <w:p>
      <w:pPr>
        <w:pStyle w:val="BodyText"/>
        <w:widowControl w:val="0"/>
        <w:spacing w:after="0" w:line="360" w:lineRule="exact"/>
        <w:ind w:firstLine="567"/>
        <w:jc w:val="both"/>
        <w:rPr>
          <w:b/>
          <w:bCs/>
          <w:i/>
          <w:color w:val="000000" w:themeColor="text1"/>
          <w:lang w:val="en-US"/>
        </w:rPr>
      </w:pPr>
      <w:r>
        <w:rPr>
          <w:b/>
          <w:bCs/>
          <w:i/>
          <w:color w:val="000000" w:themeColor="text1"/>
        </w:rPr>
        <w:t>1.</w:t>
      </w:r>
      <w:r>
        <w:rPr>
          <w:b/>
          <w:bCs/>
          <w:i/>
          <w:color w:val="000000" w:themeColor="text1"/>
          <w:lang w:val="en-US"/>
        </w:rPr>
        <w:t>2</w:t>
      </w:r>
      <w:r>
        <w:rPr>
          <w:b/>
          <w:bCs/>
          <w:i/>
          <w:color w:val="000000" w:themeColor="text1"/>
        </w:rPr>
        <w:t xml:space="preserve">. </w:t>
      </w:r>
      <w:r>
        <w:rPr>
          <w:b/>
          <w:bCs/>
          <w:i/>
          <w:color w:val="000000" w:themeColor="text1"/>
          <w:lang w:val="vi-VN"/>
        </w:rPr>
        <w:t>Xây dựng Nông thôn mới</w:t>
      </w:r>
      <w:r>
        <w:rPr>
          <w:b/>
          <w:bCs/>
          <w:i/>
          <w:color w:val="000000" w:themeColor="text1"/>
          <w:lang w:val="en-US"/>
        </w:rPr>
        <w:t xml:space="preserve"> và giảm nghèo</w:t>
      </w:r>
    </w:p>
    <w:p>
      <w:pPr>
        <w:pStyle w:val="BodyText"/>
        <w:spacing w:after="0" w:line="360" w:lineRule="exact"/>
        <w:ind w:firstLine="567"/>
        <w:jc w:val="both"/>
        <w:rPr>
          <w:color w:val="000000" w:themeColor="text1"/>
        </w:rPr>
      </w:pPr>
      <w:r>
        <w:rPr>
          <w:color w:val="000000" w:themeColor="text1"/>
          <w:spacing w:val="-4"/>
        </w:rPr>
        <w:t xml:space="preserve">Triển khai rà soát, đánh giá, đăng ký các tiêu chí theo bộ tiêu chí XD NTM của tỉnh. </w:t>
      </w:r>
      <w:r>
        <w:rPr>
          <w:color w:val="000000" w:themeColor="text1"/>
        </w:rPr>
        <w:t xml:space="preserve">Từ tháng 1 đến tháng 5/2026 giảm 02 hộ nghèo (Số hộ nghèo hiện tại 263 hộ). </w:t>
      </w:r>
    </w:p>
    <w:p>
      <w:pPr>
        <w:pStyle w:val="BodyText"/>
        <w:spacing w:after="0" w:line="360" w:lineRule="exact"/>
        <w:ind w:firstLine="567"/>
        <w:jc w:val="both"/>
        <w:rPr>
          <w:color w:val="000000" w:themeColor="text1"/>
        </w:rPr>
      </w:pPr>
      <w:r>
        <w:rPr>
          <w:color w:val="000000" w:themeColor="text1"/>
        </w:rPr>
        <w:t xml:space="preserve">Cấp nước sạch: Có </w:t>
      </w:r>
      <w:r>
        <w:rPr>
          <w:color w:val="000000" w:themeColor="text1"/>
          <w:lang w:val="en-US"/>
        </w:rPr>
        <w:t>54,53</w:t>
      </w:r>
      <w:r>
        <w:rPr>
          <w:color w:val="000000" w:themeColor="text1"/>
        </w:rPr>
        <w:t xml:space="preserve">% số hộ dùng nước sạch tập trung; </w:t>
      </w:r>
      <w:r>
        <w:rPr>
          <w:color w:val="000000" w:themeColor="text1"/>
          <w:lang w:val="en-US"/>
        </w:rPr>
        <w:t>45</w:t>
      </w:r>
      <w:r>
        <w:rPr>
          <w:color w:val="000000" w:themeColor="text1"/>
        </w:rPr>
        <w:t>,</w:t>
      </w:r>
      <w:r>
        <w:rPr>
          <w:color w:val="000000" w:themeColor="text1"/>
          <w:lang w:val="en-US"/>
        </w:rPr>
        <w:t>4</w:t>
      </w:r>
      <w:r>
        <w:rPr>
          <w:color w:val="000000" w:themeColor="text1"/>
        </w:rPr>
        <w:t>7% hộ dùng nước hợp vệ sinh.</w:t>
      </w:r>
    </w:p>
    <w:p>
      <w:pPr>
        <w:pStyle w:val="BodyText"/>
        <w:spacing w:after="0" w:line="360" w:lineRule="exact"/>
        <w:ind w:firstLine="567"/>
        <w:jc w:val="both"/>
        <w:rPr>
          <w:b/>
          <w:bCs/>
          <w:color w:val="000000" w:themeColor="text1"/>
        </w:rPr>
      </w:pPr>
      <w:r>
        <w:rPr>
          <w:b/>
          <w:i/>
          <w:iCs/>
          <w:color w:val="000000" w:themeColor="text1"/>
        </w:rPr>
        <w:t>1.3. Thủy</w:t>
      </w:r>
      <w:r>
        <w:rPr>
          <w:b/>
          <w:bCs/>
          <w:i/>
          <w:iCs/>
          <w:color w:val="000000" w:themeColor="text1"/>
        </w:rPr>
        <w:t xml:space="preserve"> lợi - Phòng chống thiên tai:</w:t>
      </w:r>
      <w:r>
        <w:rPr>
          <w:b/>
          <w:bCs/>
          <w:color w:val="000000" w:themeColor="text1"/>
        </w:rPr>
        <w:t xml:space="preserve"> </w:t>
      </w:r>
    </w:p>
    <w:p>
      <w:pPr>
        <w:pStyle w:val="BodyText"/>
        <w:spacing w:after="0" w:line="360" w:lineRule="exact"/>
        <w:ind w:firstLine="567"/>
        <w:jc w:val="both"/>
        <w:rPr>
          <w:color w:val="000000" w:themeColor="text1"/>
          <w:lang w:val="sv-SE"/>
        </w:rPr>
      </w:pPr>
      <w:r>
        <w:rPr>
          <w:color w:val="000000" w:themeColor="text1"/>
        </w:rPr>
        <w:t xml:space="preserve">Tổ chức kiểm tra, đánh giá hiện trạng kênh mương thủy lợi, </w:t>
      </w:r>
      <w:r>
        <w:rPr>
          <w:color w:val="000000" w:themeColor="text1"/>
          <w:lang w:val="sv-SE"/>
        </w:rPr>
        <w:t>nâng cấp, sửa chữa các công trình, kênh mương phục vụ công tác tưới tiêu sản xuất.</w:t>
      </w:r>
    </w:p>
    <w:p>
      <w:pPr>
        <w:pStyle w:val="BodyText"/>
        <w:widowControl w:val="0"/>
        <w:spacing w:after="0" w:line="360" w:lineRule="exact"/>
        <w:ind w:firstLine="567"/>
        <w:jc w:val="both"/>
        <w:rPr>
          <w:b/>
          <w:bCs/>
          <w:i/>
          <w:iCs/>
          <w:color w:val="000000" w:themeColor="text1"/>
        </w:rPr>
      </w:pPr>
      <w:r>
        <w:rPr>
          <w:b/>
          <w:bCs/>
          <w:i/>
          <w:iCs/>
          <w:color w:val="000000" w:themeColor="text1"/>
        </w:rPr>
        <w:t>1.</w:t>
      </w:r>
      <w:r>
        <w:rPr>
          <w:b/>
          <w:bCs/>
          <w:i/>
          <w:iCs/>
          <w:color w:val="000000" w:themeColor="text1"/>
          <w:lang w:val="en-US"/>
        </w:rPr>
        <w:t>4</w:t>
      </w:r>
      <w:r>
        <w:rPr>
          <w:b/>
          <w:bCs/>
          <w:i/>
          <w:iCs/>
          <w:color w:val="000000" w:themeColor="text1"/>
        </w:rPr>
        <w:t>. Công thương</w:t>
      </w:r>
    </w:p>
    <w:p>
      <w:pPr>
        <w:pStyle w:val="BodyText"/>
        <w:spacing w:after="0" w:line="360" w:lineRule="exact"/>
        <w:ind w:firstLine="567"/>
        <w:jc w:val="both"/>
        <w:rPr>
          <w:color w:val="000000" w:themeColor="text1"/>
          <w:lang w:val="nl-NL"/>
        </w:rPr>
      </w:pPr>
      <w:r>
        <w:rPr>
          <w:color w:val="000000" w:themeColor="text1"/>
          <w:lang w:val="nl-NL"/>
        </w:rPr>
        <w:t>Hoàn thành sửa chữa các hạng mục chợ Quảng Kim đã xuống cấp, hư hỏng do mưa bão năm 2025.</w:t>
      </w:r>
    </w:p>
    <w:p>
      <w:pPr>
        <w:pStyle w:val="BodyText"/>
        <w:spacing w:after="0" w:line="360" w:lineRule="exact"/>
        <w:ind w:firstLine="567"/>
        <w:jc w:val="both"/>
        <w:rPr>
          <w:color w:val="000000" w:themeColor="text1"/>
          <w:lang w:val="nl-NL"/>
        </w:rPr>
      </w:pPr>
      <w:r>
        <w:rPr>
          <w:color w:val="000000" w:themeColor="text1"/>
          <w:lang w:val="nl-NL"/>
        </w:rPr>
        <w:t>Rà soát, đăng ký kế hoạch khuyến công tỉnh, xây dựng kế hoạch khuyến công địa phương trong năm 2026. Rà soát, đăng ký sản phẩm công nghiệp nông thôn tiêu biểu cấp tỉnh trên địa bàn xã.</w:t>
      </w:r>
    </w:p>
    <w:p>
      <w:pPr>
        <w:pStyle w:val="BodyText"/>
        <w:widowControl w:val="0"/>
        <w:spacing w:after="0" w:line="360" w:lineRule="exact"/>
        <w:ind w:firstLine="567"/>
        <w:jc w:val="both"/>
        <w:rPr>
          <w:b/>
          <w:bCs/>
          <w:i/>
          <w:iCs/>
          <w:color w:val="000000" w:themeColor="text1"/>
        </w:rPr>
      </w:pPr>
      <w:r>
        <w:rPr>
          <w:b/>
          <w:bCs/>
          <w:i/>
          <w:iCs/>
          <w:color w:val="000000" w:themeColor="text1"/>
        </w:rPr>
        <w:t xml:space="preserve">1.5. </w:t>
      </w:r>
      <w:r>
        <w:rPr>
          <w:b/>
          <w:bCs/>
          <w:i/>
          <w:iCs/>
          <w:color w:val="000000" w:themeColor="text1"/>
          <w:lang w:val="en-US"/>
        </w:rPr>
        <w:t xml:space="preserve">Công tác GPMB, </w:t>
      </w:r>
      <w:r>
        <w:rPr>
          <w:b/>
          <w:bCs/>
          <w:i/>
          <w:iCs/>
          <w:color w:val="000000" w:themeColor="text1"/>
        </w:rPr>
        <w:t>Xây dựng cơ bản - Đầu tư</w:t>
      </w:r>
    </w:p>
    <w:p>
      <w:pPr>
        <w:pStyle w:val="BodyText"/>
        <w:spacing w:after="0" w:line="360" w:lineRule="exact"/>
        <w:ind w:firstLine="567"/>
        <w:jc w:val="both"/>
        <w:rPr>
          <w:color w:val="000000" w:themeColor="text1"/>
          <w:lang w:val="en-GB"/>
        </w:rPr>
      </w:pPr>
      <w:r>
        <w:rPr>
          <w:rFonts w:eastAsia="Calibri"/>
          <w:color w:val="000000" w:themeColor="text1"/>
        </w:rPr>
        <w:tab/>
      </w:r>
      <w:r>
        <w:rPr>
          <w:color w:val="000000" w:themeColor="text1"/>
          <w:lang w:val="en-GB"/>
        </w:rPr>
        <w:t xml:space="preserve">Thực hiện công tác giải phóng mặt bằng </w:t>
      </w:r>
      <w:r>
        <w:rPr>
          <w:color w:val="000000" w:themeColor="text1"/>
          <w:lang w:val="en-US"/>
        </w:rPr>
        <w:t>dự án Đường sắt tốc độ cao trên trục Bắc - Nam</w:t>
      </w:r>
      <w:r>
        <w:rPr>
          <w:color w:val="000000" w:themeColor="text1"/>
          <w:lang w:val="en-GB"/>
        </w:rPr>
        <w:t>, lập báo cáo nghiên cứu khả thi dự án tái định cư trình UBND tỉnh thẩm định, phê duyệt. Lập quy hoạch tổng mặt bằng khu nghĩa trang.</w:t>
      </w:r>
    </w:p>
    <w:p>
      <w:pPr>
        <w:pStyle w:val="BodyText"/>
        <w:spacing w:after="0" w:line="360" w:lineRule="exact"/>
        <w:ind w:firstLine="567"/>
        <w:jc w:val="both"/>
        <w:rPr>
          <w:color w:val="000000" w:themeColor="text1"/>
          <w:lang w:val="en-GB"/>
        </w:rPr>
      </w:pPr>
      <w:r>
        <w:rPr>
          <w:color w:val="000000" w:themeColor="text1"/>
          <w:lang w:val="en-GB"/>
        </w:rPr>
        <w:t>Tổ chức lập, thẩm định, trình phê duyệt nhiệm vụ quy hoạch chung xã Phú Trạch. Phối hợp các cơ quan, đơn vị liên quan tổ chức thực hiện các dự án đầu tư, quy hoạch xây dựng trên địa bàn thuộc thẩm quyền quản lý của Ban quản lý KKT Quảng Bình; xây dựng quy chế phối hợp QLNN trên địa bàn KKT Hòn La. Thực hiện công tác GPMB hạng mục dự án Đường từ Quốc lộ 1 vào Trung tâm Nhiệt điện Quảng Trạch. Phê duyệt 01 dự án lập Báo cáo kinh tế - kĩ thuật.</w:t>
      </w:r>
      <w:r>
        <w:rPr>
          <w:color w:val="000000" w:themeColor="text1"/>
          <w:lang w:val="nl-NL"/>
        </w:rPr>
        <w:t xml:space="preserve"> Thành lập Ban Chỉ đạo, ban hành kế hoạch triển khai thực hiện</w:t>
      </w:r>
      <w:r>
        <w:rPr>
          <w:color w:val="000000" w:themeColor="text1"/>
          <w:lang w:val="en-GB"/>
        </w:rPr>
        <w:t xml:space="preserve"> </w:t>
      </w:r>
      <w:r>
        <w:rPr>
          <w:color w:val="000000" w:themeColor="text1"/>
          <w:lang w:val="nl-NL"/>
        </w:rPr>
        <w:t>Công tác định danh địa điểm, đánh số nhà theo</w:t>
      </w:r>
      <w:r>
        <w:rPr>
          <w:color w:val="000000" w:themeColor="text1"/>
        </w:rPr>
        <w:t xml:space="preserve"> Kế hoạch số 1002/KH-UBND ngày 19/9/2025 của UBND tỉnh</w:t>
      </w:r>
      <w:r>
        <w:rPr>
          <w:color w:val="000000" w:themeColor="text1"/>
          <w:lang w:val="nl-NL"/>
        </w:rPr>
        <w:t>.</w:t>
      </w:r>
    </w:p>
    <w:p>
      <w:pPr>
        <w:pStyle w:val="BodyText"/>
        <w:widowControl w:val="0"/>
        <w:spacing w:after="0" w:line="360" w:lineRule="exact"/>
        <w:ind w:firstLine="567"/>
        <w:jc w:val="both"/>
        <w:rPr>
          <w:rStyle w:val="fontstyle01"/>
          <w:rFonts w:ascii="Times New Roman" w:hAnsi="Times New Roman"/>
          <w:b/>
          <w:i/>
          <w:iCs/>
          <w:color w:val="000000" w:themeColor="text1"/>
          <w:sz w:val="28"/>
          <w:szCs w:val="28"/>
        </w:rPr>
      </w:pPr>
      <w:r>
        <w:rPr>
          <w:rStyle w:val="fontstyle01"/>
          <w:rFonts w:ascii="Times New Roman" w:hAnsi="Times New Roman"/>
          <w:b/>
          <w:i/>
          <w:iCs/>
          <w:color w:val="000000" w:themeColor="text1"/>
          <w:sz w:val="28"/>
          <w:szCs w:val="28"/>
        </w:rPr>
        <w:t xml:space="preserve">1.6. Quản lý đất đai và </w:t>
      </w:r>
      <w:r>
        <w:rPr>
          <w:b/>
          <w:i/>
          <w:iCs/>
          <w:color w:val="000000" w:themeColor="text1"/>
        </w:rPr>
        <w:t>Môi trường, tài nguyên và khoáng sản</w:t>
      </w:r>
    </w:p>
    <w:p>
      <w:pPr>
        <w:pStyle w:val="BodyText"/>
        <w:widowControl w:val="0"/>
        <w:spacing w:after="0" w:line="360" w:lineRule="exact"/>
        <w:ind w:firstLine="567"/>
        <w:jc w:val="both"/>
        <w:rPr>
          <w:rStyle w:val="fontstyle01"/>
          <w:rFonts w:ascii="Times New Roman" w:hAnsi="Times New Roman"/>
          <w:bCs/>
          <w:i/>
          <w:iCs/>
          <w:color w:val="000000" w:themeColor="text1"/>
          <w:sz w:val="28"/>
          <w:szCs w:val="28"/>
        </w:rPr>
      </w:pPr>
      <w:r>
        <w:rPr>
          <w:rStyle w:val="fontstyle01"/>
          <w:rFonts w:ascii="Times New Roman" w:hAnsi="Times New Roman"/>
          <w:bCs/>
          <w:i/>
          <w:iCs/>
          <w:color w:val="000000" w:themeColor="text1"/>
          <w:sz w:val="28"/>
          <w:szCs w:val="28"/>
        </w:rPr>
        <w:t>1.6.1. Quản lý đất đai</w:t>
      </w:r>
    </w:p>
    <w:p>
      <w:pPr>
        <w:widowControl w:val="0"/>
        <w:spacing w:after="0" w:line="360" w:lineRule="exact"/>
        <w:ind w:firstLine="567"/>
        <w:jc w:val="both"/>
        <w:rPr>
          <w:rFonts w:cs="Times New Roman"/>
          <w:color w:val="000000" w:themeColor="text1"/>
          <w:szCs w:val="28"/>
        </w:rPr>
      </w:pPr>
      <w:r>
        <w:rPr>
          <w:rFonts w:cs="Times New Roman"/>
          <w:color w:val="000000" w:themeColor="text1"/>
          <w:szCs w:val="28"/>
        </w:rPr>
        <w:t xml:space="preserve">Tiếp nhận, giải quyết 11 trường hợp chuyển mục đích sử dụng đất </w:t>
      </w:r>
      <w:r>
        <w:rPr>
          <w:rFonts w:cs="Times New Roman"/>
          <w:color w:val="000000" w:themeColor="text1"/>
          <w:szCs w:val="28"/>
          <w:vertAlign w:val="superscript"/>
        </w:rPr>
        <w:t>(</w:t>
      </w:r>
      <w:r>
        <w:rPr>
          <w:rStyle w:val="FootnoteReference"/>
          <w:rFonts w:cs="Times New Roman"/>
          <w:color w:val="000000" w:themeColor="text1"/>
          <w:szCs w:val="28"/>
        </w:rPr>
        <w:footnoteReference w:id="2"/>
      </w:r>
      <w:r>
        <w:rPr>
          <w:rFonts w:cs="Times New Roman"/>
          <w:color w:val="000000" w:themeColor="text1"/>
          <w:szCs w:val="28"/>
          <w:vertAlign w:val="superscript"/>
        </w:rPr>
        <w:t>)</w:t>
      </w:r>
      <w:r>
        <w:rPr>
          <w:rFonts w:cs="Times New Roman"/>
          <w:color w:val="000000" w:themeColor="text1"/>
          <w:szCs w:val="28"/>
        </w:rPr>
        <w:t xml:space="preserve"> và 45 hồ </w:t>
      </w:r>
      <w:r>
        <w:rPr>
          <w:rFonts w:cs="Times New Roman"/>
          <w:color w:val="000000" w:themeColor="text1"/>
          <w:szCs w:val="28"/>
        </w:rPr>
        <w:lastRenderedPageBreak/>
        <w:t>sơ đất đai các loại.</w:t>
      </w:r>
      <w:r>
        <w:rPr>
          <w:rFonts w:cs="Times New Roman"/>
          <w:color w:val="000000" w:themeColor="text1"/>
          <w:szCs w:val="28"/>
          <w:vertAlign w:val="superscript"/>
        </w:rPr>
        <w:t>(</w:t>
      </w:r>
      <w:r>
        <w:rPr>
          <w:rStyle w:val="FootnoteReference"/>
          <w:rFonts w:cs="Times New Roman"/>
          <w:color w:val="000000" w:themeColor="text1"/>
          <w:szCs w:val="28"/>
        </w:rPr>
        <w:footnoteReference w:id="3"/>
      </w:r>
      <w:r>
        <w:rPr>
          <w:rFonts w:cs="Times New Roman"/>
          <w:color w:val="000000" w:themeColor="text1"/>
          <w:szCs w:val="28"/>
          <w:vertAlign w:val="superscript"/>
        </w:rPr>
        <w:t>)</w:t>
      </w:r>
    </w:p>
    <w:p>
      <w:pPr>
        <w:widowControl w:val="0"/>
        <w:spacing w:after="0" w:line="360" w:lineRule="exact"/>
        <w:ind w:firstLine="567"/>
        <w:jc w:val="both"/>
        <w:rPr>
          <w:rFonts w:cs="Times New Roman"/>
          <w:color w:val="000000" w:themeColor="text1"/>
          <w:szCs w:val="28"/>
        </w:rPr>
      </w:pPr>
      <w:r>
        <w:rPr>
          <w:rFonts w:cs="Times New Roman"/>
          <w:color w:val="000000" w:themeColor="text1"/>
          <w:szCs w:val="28"/>
        </w:rPr>
        <w:t>Thực hiện trả kết quả Giấy chứng nhận quyền sử dụng đất cho 15 hộ gia đình, cá nhân trúng đấu giá quyền sử dụng đất tại Dự án Hạ tầng kỹ thuật Quy hoạch chi tiết khu dân cư Nam Lãnh, xã Quảng Phú, huyện Quảng Trạch, tỉnh Quảng Bình (nay là xã Phú Trạch, tỉnh Quảng Trị) đợt 1. Chuyển thông tin thuế cho 15 trường hợp giao đất tái định cư xen ghép thuộc Dự án Trung tâm Điện lực Quảng Trạch.</w:t>
      </w:r>
    </w:p>
    <w:p>
      <w:pPr>
        <w:widowControl w:val="0"/>
        <w:spacing w:after="0" w:line="360" w:lineRule="exact"/>
        <w:ind w:firstLine="567"/>
        <w:jc w:val="both"/>
        <w:rPr>
          <w:rFonts w:cs="Times New Roman"/>
          <w:color w:val="000000" w:themeColor="text1"/>
          <w:szCs w:val="28"/>
        </w:rPr>
      </w:pPr>
      <w:r>
        <w:rPr>
          <w:rFonts w:cs="Times New Roman"/>
          <w:color w:val="000000" w:themeColor="text1"/>
          <w:szCs w:val="28"/>
        </w:rPr>
        <w:t>Ban hành Quyết định cho Tổng Công ty Truyền tải điện Quốc gia thuê đất để thực hiện Dự án Đường dây 500kV Quảng Trạch - Quỳnh Lưu đoạn qua địa bàn xã Phú Trạch, tỉnh Quảng Trị. Thực hiện tiếp nhận 02 hồ sơ đề nghị thu hồi Giấy chứng nhận quyền sử dụng đất cấp lần đầu.</w:t>
      </w:r>
    </w:p>
    <w:p>
      <w:pPr>
        <w:widowControl w:val="0"/>
        <w:spacing w:after="0" w:line="360" w:lineRule="exact"/>
        <w:ind w:firstLine="567"/>
        <w:jc w:val="both"/>
        <w:rPr>
          <w:rFonts w:cs="Times New Roman"/>
          <w:color w:val="000000" w:themeColor="text1"/>
          <w:szCs w:val="28"/>
        </w:rPr>
      </w:pPr>
      <w:r>
        <w:rPr>
          <w:rFonts w:cs="Times New Roman"/>
          <w:color w:val="000000" w:themeColor="text1"/>
          <w:szCs w:val="28"/>
        </w:rPr>
        <w:t>Ban hành Thông báo thu hồi đất để giải phóng mặt bằng thực hiện công trình cơ sở hạ tầng thuộc Trung tâm Điện lực Quảng Trạch; ban hành Quyết định xử phạt vi phạm hành chính trong lĩnh vực đất đai đối với 03 trường hợp vi phạm.</w:t>
      </w:r>
    </w:p>
    <w:p>
      <w:pPr>
        <w:widowControl w:val="0"/>
        <w:spacing w:after="0" w:line="360" w:lineRule="exact"/>
        <w:ind w:firstLine="567"/>
        <w:jc w:val="both"/>
        <w:rPr>
          <w:rFonts w:cs="Times New Roman"/>
          <w:i/>
          <w:iCs/>
          <w:color w:val="000000" w:themeColor="text1"/>
          <w:szCs w:val="28"/>
        </w:rPr>
      </w:pPr>
      <w:r>
        <w:rPr>
          <w:rFonts w:cs="Times New Roman"/>
          <w:i/>
          <w:iCs/>
          <w:color w:val="000000" w:themeColor="text1"/>
          <w:szCs w:val="28"/>
        </w:rPr>
        <w:t>1.6.2. Môi trường, tài nguyên và khoáng sản</w:t>
      </w:r>
    </w:p>
    <w:p>
      <w:pPr>
        <w:spacing w:after="0" w:line="360" w:lineRule="exact"/>
        <w:ind w:firstLine="567"/>
        <w:jc w:val="both"/>
        <w:rPr>
          <w:rFonts w:cs="Times New Roman"/>
          <w:color w:val="000000" w:themeColor="text1"/>
          <w:szCs w:val="28"/>
          <w:lang w:val="pt-BR"/>
        </w:rPr>
      </w:pPr>
      <w:r>
        <w:rPr>
          <w:rFonts w:cs="Times New Roman"/>
          <w:iCs/>
          <w:color w:val="000000" w:themeColor="text1"/>
          <w:szCs w:val="28"/>
        </w:rPr>
        <w:t>Tình hình quản lý về lĩnh vực môi trường, tài nguyên và khoáng sản cơ bản ổn định, không có vụ việc vi phạm xảy ra.</w:t>
      </w:r>
      <w:r>
        <w:rPr>
          <w:rFonts w:cs="Times New Roman"/>
          <w:color w:val="000000" w:themeColor="text1"/>
          <w:szCs w:val="28"/>
          <w:lang w:val="pt-BR"/>
        </w:rPr>
        <w:t xml:space="preserve"> Phối hợp tăng cường công tác kiểm tra các tổ chức, cá nhân liên quan đến hoạt động khoáng sản chấn chỉnh tình trạng khai thác khoáng sản, tài nguyên trái phép. </w:t>
      </w:r>
      <w:r>
        <w:rPr>
          <w:rFonts w:cs="Times New Roman"/>
          <w:color w:val="000000" w:themeColor="text1"/>
          <w:szCs w:val="28"/>
          <w:lang w:val="nl-NL"/>
        </w:rPr>
        <w:t xml:space="preserve">Xử lý khu vực dân đổ rác thải ở Đồng Trạm và nạo vét, khơi thông 500m mương. Rà soát, kiểm tra, hướng dẫn các cơ sở sản xuất, kinh doanh, dịch vụ lập hồ sơ đề án bảo vệ môi trường trình cấp có thẩm quyền thẩm tra, xác nhận, phê duyệt. </w:t>
      </w:r>
    </w:p>
    <w:p>
      <w:pPr>
        <w:pStyle w:val="BodyText"/>
        <w:widowControl w:val="0"/>
        <w:spacing w:after="0" w:line="360" w:lineRule="exact"/>
        <w:ind w:firstLine="567"/>
        <w:jc w:val="both"/>
        <w:rPr>
          <w:rStyle w:val="fontstyle01"/>
          <w:rFonts w:ascii="Times New Roman" w:hAnsi="Times New Roman"/>
          <w:b/>
          <w:i/>
          <w:iCs/>
          <w:color w:val="000000" w:themeColor="text1"/>
          <w:sz w:val="28"/>
          <w:szCs w:val="28"/>
        </w:rPr>
      </w:pPr>
      <w:r>
        <w:rPr>
          <w:b/>
          <w:i/>
          <w:iCs/>
          <w:color w:val="000000" w:themeColor="text1"/>
        </w:rPr>
        <w:t xml:space="preserve">1.7. </w:t>
      </w:r>
      <w:r>
        <w:rPr>
          <w:rStyle w:val="fontstyle01"/>
          <w:rFonts w:ascii="Times New Roman" w:hAnsi="Times New Roman"/>
          <w:b/>
          <w:i/>
          <w:iCs/>
          <w:color w:val="000000" w:themeColor="text1"/>
          <w:sz w:val="28"/>
          <w:szCs w:val="28"/>
        </w:rPr>
        <w:t>Lĩnh vực Tài chính - Kế hoạch</w:t>
      </w:r>
    </w:p>
    <w:p>
      <w:pPr>
        <w:pBdr>
          <w:top w:val="dotted" w:sz="4" w:space="0" w:color="FFFFFF"/>
          <w:left w:val="dotted" w:sz="4" w:space="0" w:color="FFFFFF"/>
          <w:bottom w:val="dotted" w:sz="4" w:space="2" w:color="FFFFFF"/>
          <w:right w:val="dotted" w:sz="4" w:space="0" w:color="FFFFFF"/>
          <w:between w:val="nil"/>
        </w:pBdr>
        <w:shd w:val="clear" w:color="auto" w:fill="FFFFFF"/>
        <w:tabs>
          <w:tab w:val="left" w:pos="709"/>
        </w:tabs>
        <w:spacing w:after="0" w:line="360" w:lineRule="exact"/>
        <w:ind w:firstLine="567"/>
        <w:jc w:val="both"/>
        <w:rPr>
          <w:rFonts w:cs="Times New Roman"/>
          <w:color w:val="000000" w:themeColor="text1"/>
          <w:spacing w:val="-2"/>
          <w:szCs w:val="28"/>
        </w:rPr>
      </w:pPr>
      <w:r>
        <w:rPr>
          <w:rFonts w:cs="Times New Roman"/>
          <w:color w:val="000000" w:themeColor="text1"/>
          <w:spacing w:val="-2"/>
          <w:szCs w:val="28"/>
        </w:rPr>
        <w:tab/>
        <w:t xml:space="preserve"> Tổng hợp nhu cầu đầu tư xây dựng giai đoạn 2026-2030 các thôn, các đơn vị trên địa bàn xã. Quyết toán vốn đầu tư nguồn vốn ngân sách xã quản lý năm 2025. Ban hành Quyết định phê duyệt phương án bồi thường, hỗ trợ để GPMB dự án xây dựng công trình đường bộ cao tốc Bắc-Nam phía đông giai đoạn 2021-2025, đoạn qua xã Phú Trạch (đợt 42); </w:t>
      </w:r>
      <w:r>
        <w:rPr>
          <w:rFonts w:cs="Times New Roman"/>
          <w:color w:val="000000" w:themeColor="text1"/>
          <w:spacing w:val="4"/>
          <w:szCs w:val="28"/>
          <w:lang w:val="fr-FR"/>
        </w:rPr>
        <w:t>Dự án</w:t>
      </w:r>
      <w:r>
        <w:rPr>
          <w:rFonts w:cs="Times New Roman"/>
          <w:bCs/>
          <w:color w:val="000000" w:themeColor="text1"/>
          <w:szCs w:val="28"/>
        </w:rPr>
        <w:t xml:space="preserve"> nâng cấp mở rộng hầm Đèo Ngang thuộc địa bàn huyện Quảng Trạch quản lý đoạn qua xã Phú Trạch, tỉnh Quảng Trị, (Bể phòng cháy chữa cháy - Phần hầm Đèo Ngang); chi phí trích đo, quy chủ sử dụng đất cho các hộ gia đình thuộc Dự án đầu tư xây dựng Trung tâm Điện lực Quảng Trạch; Chi phí trích đo </w:t>
      </w:r>
      <w:r>
        <w:rPr>
          <w:rFonts w:cs="Times New Roman"/>
          <w:color w:val="000000" w:themeColor="text1"/>
          <w:szCs w:val="28"/>
        </w:rPr>
        <w:t>Nâng cấp, mở rộng một số cầu, hầm trên Quốc lộ 1 (Hầm Đèo Ngang) tại xã Phú Trạch, tỉnh Quảng Trị.</w:t>
      </w:r>
    </w:p>
    <w:p>
      <w:pPr>
        <w:spacing w:after="0" w:line="360" w:lineRule="exact"/>
        <w:ind w:firstLine="567"/>
        <w:jc w:val="both"/>
        <w:rPr>
          <w:rFonts w:cs="Times New Roman"/>
          <w:color w:val="000000" w:themeColor="text1"/>
          <w:szCs w:val="28"/>
        </w:rPr>
      </w:pPr>
      <w:r>
        <w:rPr>
          <w:rFonts w:cs="Times New Roman"/>
          <w:color w:val="000000" w:themeColor="text1"/>
          <w:szCs w:val="28"/>
        </w:rPr>
        <w:tab/>
        <w:t xml:space="preserve">Ban hành Quyết định cấp kinh phí về: hoạt động trạm y tế; </w:t>
      </w:r>
      <w:r>
        <w:rPr>
          <w:rFonts w:cs="Times New Roman"/>
          <w:bCs/>
          <w:color w:val="000000" w:themeColor="text1"/>
          <w:szCs w:val="28"/>
        </w:rPr>
        <w:t xml:space="preserve">hỗ trợ công tác quản lý bảo vệ rừng và phòng cháy chữa cháy rừng; hỗ trợ làm bể thu gom rác thải thuốc bảo vệ thực vật tại các cánh đồng sản xuất nông nghiệp; hỗ trợ các cụm loa phát thanh đấu nối vào nguồn điện của hộ dân năm 2026; cấp phần mềm kế toán và </w:t>
      </w:r>
      <w:r>
        <w:rPr>
          <w:rFonts w:cs="Times New Roman"/>
          <w:bCs/>
          <w:color w:val="000000" w:themeColor="text1"/>
          <w:szCs w:val="28"/>
        </w:rPr>
        <w:lastRenderedPageBreak/>
        <w:t>phần mềm quản lý tài sản công Misa.</w:t>
      </w:r>
      <w:r>
        <w:rPr>
          <w:rFonts w:cs="Times New Roman"/>
          <w:color w:val="000000" w:themeColor="text1"/>
          <w:szCs w:val="28"/>
          <w:lang w:val="pt-BR"/>
        </w:rPr>
        <w:tab/>
        <w:t>Cấp mới, chuyển đổi và chấm dứt cho 35 giấy phép kinh doanh.</w:t>
      </w:r>
    </w:p>
    <w:p>
      <w:pPr>
        <w:widowControl w:val="0"/>
        <w:spacing w:after="0" w:line="360" w:lineRule="exact"/>
        <w:ind w:firstLine="567"/>
        <w:jc w:val="both"/>
        <w:rPr>
          <w:rFonts w:cs="Times New Roman"/>
          <w:b/>
          <w:bCs/>
          <w:color w:val="000000" w:themeColor="text1"/>
          <w:szCs w:val="28"/>
        </w:rPr>
      </w:pPr>
      <w:r>
        <w:rPr>
          <w:rFonts w:cs="Times New Roman"/>
          <w:b/>
          <w:bCs/>
          <w:color w:val="000000" w:themeColor="text1"/>
          <w:szCs w:val="28"/>
        </w:rPr>
        <w:t>2. Văn hóa - Xã hội, khoa học công nghệ và chuyển đổi số</w:t>
      </w:r>
    </w:p>
    <w:p>
      <w:pPr>
        <w:widowControl w:val="0"/>
        <w:pBdr>
          <w:top w:val="dotted" w:sz="4" w:space="0" w:color="FFFFFF"/>
          <w:left w:val="dotted" w:sz="4" w:space="0" w:color="FFFFFF"/>
          <w:bottom w:val="dotted" w:sz="4" w:space="3" w:color="FFFFFF"/>
          <w:right w:val="dotted" w:sz="4" w:space="0" w:color="FFFFFF"/>
        </w:pBdr>
        <w:shd w:val="clear" w:color="auto" w:fill="FFFFFF"/>
        <w:tabs>
          <w:tab w:val="left" w:pos="1276"/>
        </w:tabs>
        <w:spacing w:after="0" w:line="360" w:lineRule="exact"/>
        <w:ind w:firstLine="567"/>
        <w:jc w:val="both"/>
        <w:rPr>
          <w:rFonts w:cs="Times New Roman"/>
          <w:b/>
          <w:i/>
          <w:iCs/>
          <w:color w:val="000000" w:themeColor="text1"/>
          <w:szCs w:val="28"/>
        </w:rPr>
      </w:pPr>
      <w:r>
        <w:rPr>
          <w:rFonts w:cs="Times New Roman"/>
          <w:b/>
          <w:i/>
          <w:iCs/>
          <w:color w:val="000000" w:themeColor="text1"/>
          <w:szCs w:val="28"/>
        </w:rPr>
        <w:t>2.1. Giáo dục - Đào tạo</w:t>
      </w:r>
    </w:p>
    <w:p>
      <w:pPr>
        <w:widowControl w:val="0"/>
        <w:pBdr>
          <w:top w:val="dotted" w:sz="4" w:space="0" w:color="FFFFFF"/>
          <w:left w:val="dotted" w:sz="4" w:space="0" w:color="FFFFFF"/>
          <w:bottom w:val="dotted" w:sz="4" w:space="8" w:color="FFFFFF"/>
          <w:right w:val="dotted" w:sz="4" w:space="0" w:color="FFFFFF"/>
        </w:pBd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Chất lượng giáo dục đại trà tiếp tục được duy trì và nâng lên. Đối với cấp THCS, kết quả rèn luyện học sinh đạt loại Tốt 92,89%, Khá 6,52%, Đạt 0,60%; kết quả học tập đạt loại Tốt 28,88%, Khá 45,64%, Đạt 24,52%, Chưa đạt 0,96%. Chất lượng giáo dục cấp Tiểu học và Mầm non tiếp tục được duy trì ổn định.</w:t>
      </w:r>
    </w:p>
    <w:p>
      <w:pPr>
        <w:widowControl w:val="0"/>
        <w:pBdr>
          <w:top w:val="dotted" w:sz="4" w:space="0" w:color="FFFFFF"/>
          <w:left w:val="dotted" w:sz="4" w:space="0" w:color="FFFFFF"/>
          <w:bottom w:val="dotted" w:sz="4" w:space="8" w:color="FFFFFF"/>
          <w:right w:val="dotted" w:sz="4" w:space="0" w:color="FFFFFF"/>
        </w:pBd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Các cơ sở giáo dục tiếp tục triển khai hiệu quả công tác chuyển đổi số trong quản lý, dạy học; thực hiện quản lý hồ sơ, sổ sách chuyên môn trên nền tảng số; duy trì công tác phổ cập giáo dục, cập nhật cơ sở dữ liệu ngành bảo đảm chính xác, đồng bộ. Công tác tuyển sinh năm học 2026 - 2027 và triển khai lộ trình xây dựng trường đạt chuẩn quốc gia được thực hiện theo kế hoạch đề ra.</w:t>
      </w:r>
    </w:p>
    <w:p>
      <w:pPr>
        <w:widowControl w:val="0"/>
        <w:pBdr>
          <w:top w:val="dotted" w:sz="4" w:space="0" w:color="FFFFFF"/>
          <w:left w:val="dotted" w:sz="4" w:space="0" w:color="FFFFFF"/>
          <w:bottom w:val="dotted" w:sz="4" w:space="8" w:color="FFFFFF"/>
          <w:right w:val="dotted" w:sz="4" w:space="0" w:color="FFFFFF"/>
        </w:pBdr>
        <w:shd w:val="clear" w:color="auto" w:fill="FFFFFF"/>
        <w:spacing w:after="0" w:line="360" w:lineRule="exact"/>
        <w:ind w:firstLine="567"/>
        <w:jc w:val="both"/>
        <w:rPr>
          <w:rFonts w:cs="Times New Roman"/>
          <w:b/>
          <w:bCs/>
          <w:i/>
          <w:iCs/>
          <w:color w:val="000000" w:themeColor="text1"/>
          <w:szCs w:val="28"/>
        </w:rPr>
      </w:pPr>
      <w:r>
        <w:rPr>
          <w:rFonts w:cs="Times New Roman"/>
          <w:b/>
          <w:bCs/>
          <w:i/>
          <w:iCs/>
          <w:color w:val="000000" w:themeColor="text1"/>
          <w:szCs w:val="28"/>
        </w:rPr>
        <w:t>2.2. Y</w:t>
      </w:r>
      <w:r>
        <w:rPr>
          <w:rFonts w:cs="Times New Roman"/>
          <w:b/>
          <w:bCs/>
          <w:i/>
          <w:iCs/>
          <w:color w:val="000000" w:themeColor="text1"/>
          <w:szCs w:val="28"/>
          <w:lang w:val="vi-VN"/>
        </w:rPr>
        <w:t xml:space="preserve"> tế và chăm sóc sức khỏe nhân dân</w:t>
      </w:r>
    </w:p>
    <w:p>
      <w:pPr>
        <w:widowControl w:val="0"/>
        <w:pBdr>
          <w:top w:val="dotted" w:sz="4" w:space="0" w:color="FFFFFF"/>
          <w:left w:val="dotted" w:sz="4" w:space="0" w:color="FFFFFF"/>
          <w:bottom w:val="dotted" w:sz="4" w:space="8" w:color="FFFFFF"/>
          <w:right w:val="dotted" w:sz="4" w:space="0" w:color="FFFFFF"/>
        </w:pBd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Duy trì tốt công tác chăm sóc sức khỏe ban đầu cho Nhân dân; công tác y tế dự phòng, phòng chống dịch bệnh được triển khai hiệu quả, không để phát sinh dịch bệnh lớn trên địa bàn. Thực hiện tuyên truyền về phòng chống dịch bệnh, an toàn vệ sinh thực phẩm và khám chữa bệnh. Tổ chức kiểm tra liên ngành, chuyên ngành đối với hoạt động hành nghề y dược tư nhân, mỹ phẩm, trang thiết bị y tế và an toàn thực phẩm theo kế hoạch.</w:t>
      </w:r>
    </w:p>
    <w:p>
      <w:pPr>
        <w:widowControl w:val="0"/>
        <w:pBdr>
          <w:top w:val="dotted" w:sz="4" w:space="0" w:color="FFFFFF"/>
          <w:left w:val="dotted" w:sz="4" w:space="0" w:color="FFFFFF"/>
          <w:bottom w:val="dotted" w:sz="4" w:space="8" w:color="FFFFFF"/>
          <w:right w:val="dotted" w:sz="4" w:space="0" w:color="FFFFFF"/>
        </w:pBdr>
        <w:shd w:val="clear" w:color="auto" w:fill="FFFFFF"/>
        <w:spacing w:after="0" w:line="360" w:lineRule="exact"/>
        <w:ind w:firstLine="567"/>
        <w:jc w:val="both"/>
        <w:rPr>
          <w:rFonts w:cs="Times New Roman"/>
          <w:b/>
          <w:bCs/>
          <w:i/>
          <w:iCs/>
          <w:color w:val="000000" w:themeColor="text1"/>
          <w:szCs w:val="28"/>
          <w:lang w:val="vi-VN"/>
        </w:rPr>
      </w:pPr>
      <w:r>
        <w:rPr>
          <w:rFonts w:cs="Times New Roman"/>
          <w:b/>
          <w:bCs/>
          <w:i/>
          <w:iCs/>
          <w:color w:val="000000" w:themeColor="text1"/>
          <w:szCs w:val="28"/>
          <w:lang w:val="vi-VN"/>
        </w:rPr>
        <w:t>2.</w:t>
      </w:r>
      <w:r>
        <w:rPr>
          <w:rFonts w:cs="Times New Roman"/>
          <w:b/>
          <w:bCs/>
          <w:i/>
          <w:iCs/>
          <w:color w:val="000000" w:themeColor="text1"/>
          <w:szCs w:val="28"/>
        </w:rPr>
        <w:t>3.</w:t>
      </w:r>
      <w:r>
        <w:rPr>
          <w:rFonts w:cs="Times New Roman"/>
          <w:b/>
          <w:bCs/>
          <w:i/>
          <w:iCs/>
          <w:color w:val="000000" w:themeColor="text1"/>
          <w:szCs w:val="28"/>
          <w:lang w:val="vi-VN"/>
        </w:rPr>
        <w:t xml:space="preserve"> Công tác chính sách, an sinh xã hội</w:t>
      </w:r>
    </w:p>
    <w:p>
      <w:pPr>
        <w:widowControl w:val="0"/>
        <w:pBdr>
          <w:top w:val="dotted" w:sz="4" w:space="0" w:color="FFFFFF"/>
          <w:left w:val="dotted" w:sz="4" w:space="0" w:color="FFFFFF"/>
          <w:bottom w:val="dotted" w:sz="4" w:space="7" w:color="FFFFFF"/>
          <w:right w:val="dotted" w:sz="4" w:space="0" w:color="FFFFFF"/>
        </w:pBd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 xml:space="preserve">Công tác chính sách, an sinh xã hội tiếp tục được triển khai kịp thời, đúng quy định. Đã tiếp nhận và giải quyết 10 hồ sơ đối tượng từ 70 đến dưới 75 tuổi thuộc hộ nghèo, cận nghèo và đối tượng từ 75 tuổi trở lên theo Nghị định 176/NĐ-CP của Chính phủ; tiếp nhận 26 hồ sơ khuyết tật; giải quyết chế độ mai táng phí cho 06 đối tượng bảo trợ xã hội. Phối hợp cấp thẻ BHYT cho 17.800 đối tượng; triển khai cài đặt BHYT, sổ sức khỏe điện tử cho người dân và rà soát, báo tăng BHYT hộ nghèo năm 2026. Đồng thời thực hiện chi trả trợ cấp cho 391 đối tượng người có công, giải quyết chế độ mai táng phí cho 05 đối tượng người có công, cấp dụng cụ chỉnh hình cho 01 đối tượng; cập nhật dữ liệu trẻ em và triển khai kế hoạch tổ chức Ngày Quốc tế thiếu nhi 01/6. </w:t>
      </w:r>
    </w:p>
    <w:p>
      <w:pPr>
        <w:widowControl w:val="0"/>
        <w:shd w:val="clear" w:color="auto" w:fill="FFFFFF"/>
        <w:spacing w:after="0" w:line="360" w:lineRule="exact"/>
        <w:ind w:firstLine="567"/>
        <w:jc w:val="both"/>
        <w:rPr>
          <w:rFonts w:cs="Times New Roman"/>
          <w:b/>
          <w:bCs/>
          <w:i/>
          <w:iCs/>
          <w:color w:val="000000" w:themeColor="text1"/>
          <w:szCs w:val="28"/>
          <w:lang w:val="vi-VN"/>
        </w:rPr>
      </w:pPr>
      <w:r>
        <w:rPr>
          <w:rFonts w:cs="Times New Roman"/>
          <w:b/>
          <w:bCs/>
          <w:i/>
          <w:iCs/>
          <w:color w:val="000000" w:themeColor="text1"/>
          <w:szCs w:val="28"/>
        </w:rPr>
        <w:t>2.</w:t>
      </w:r>
      <w:r>
        <w:rPr>
          <w:rFonts w:cs="Times New Roman"/>
          <w:b/>
          <w:bCs/>
          <w:i/>
          <w:iCs/>
          <w:color w:val="000000" w:themeColor="text1"/>
          <w:szCs w:val="28"/>
          <w:lang w:val="vi-VN"/>
        </w:rPr>
        <w:t>4. Văn hóa, thông tin và thể thao</w:t>
      </w:r>
    </w:p>
    <w:p>
      <w:pPr>
        <w:widowControl w:val="0"/>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Công tác thông tin, tuyên truyền tiếp tục được triển khai hiệu quả, tập trung tuyên truyền kỷ niệm 72 năm Chiến thắng Điện Biên Phủ (07/5) và 136 năm Ngày sinh Chủ tịch Hồ Chí Minh (19/5). Đã sản xuất, tiếp sóng 30 bản tin trên hệ thống truyền thanh xã, lồng ghép tuyên truyền về an toàn giao thông, phòng chống đuối nước trẻ em và các chính sách pháp luật mới. Triển khai các kế hoạch tuyên truyền về phòng chống ma túy, biển đảo Việt Nam và chống khai thác hải sản bất hợp pháp (IUU).</w:t>
      </w:r>
    </w:p>
    <w:p>
      <w:pPr>
        <w:widowControl w:val="0"/>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lastRenderedPageBreak/>
        <w:t xml:space="preserve">Các hoạt động văn hóa, văn nghệ, thể dục thể thao tiếp tục được duy trì thường xuyên; </w:t>
      </w:r>
      <w:r>
        <w:rPr>
          <w:rFonts w:cs="Times New Roman"/>
          <w:color w:val="000000" w:themeColor="text1"/>
          <w:szCs w:val="28"/>
          <w:lang w:val="vi-VN"/>
        </w:rPr>
        <w:t xml:space="preserve">ban hành </w:t>
      </w:r>
      <w:r>
        <w:rPr>
          <w:rFonts w:cs="Times New Roman"/>
          <w:color w:val="000000" w:themeColor="text1"/>
          <w:szCs w:val="28"/>
        </w:rPr>
        <w:t>c</w:t>
      </w:r>
      <w:r>
        <w:rPr>
          <w:rFonts w:cs="Times New Roman"/>
          <w:color w:val="000000" w:themeColor="text1"/>
          <w:szCs w:val="28"/>
          <w:lang w:val="vi-VN"/>
        </w:rPr>
        <w:t xml:space="preserve">ông văn tăng cường công tác quản lý </w:t>
      </w:r>
      <w:r>
        <w:rPr>
          <w:rFonts w:cs="Times New Roman"/>
          <w:color w:val="000000" w:themeColor="text1"/>
          <w:szCs w:val="28"/>
        </w:rPr>
        <w:t>các thiết chế văn hóa, thể thao cơ sở. Các câu lạc bộ bóng chuyền, bóng đá hoạt động ổn định; triển khai rà soát, bồi dưỡng vận động viên tham gia Đại hội TDTT tỉnh Quảng Trị lần thứ I và lập danh sách cán bộ, giáo viên tham gia tập huấn môn bơi, phòng chống đuối nước năm 2026.</w:t>
      </w:r>
    </w:p>
    <w:p>
      <w:pPr>
        <w:widowControl w:val="0"/>
        <w:shd w:val="clear" w:color="auto" w:fill="FFFFFF"/>
        <w:spacing w:after="0" w:line="360" w:lineRule="exact"/>
        <w:ind w:firstLine="567"/>
        <w:jc w:val="both"/>
        <w:rPr>
          <w:rFonts w:cs="Times New Roman"/>
          <w:b/>
          <w:bCs/>
          <w:i/>
          <w:iCs/>
          <w:color w:val="000000" w:themeColor="text1"/>
          <w:szCs w:val="28"/>
          <w:lang w:val="vi-VN"/>
        </w:rPr>
      </w:pPr>
      <w:r>
        <w:rPr>
          <w:rFonts w:cs="Times New Roman"/>
          <w:b/>
          <w:bCs/>
          <w:i/>
          <w:iCs/>
          <w:color w:val="000000" w:themeColor="text1"/>
          <w:szCs w:val="28"/>
        </w:rPr>
        <w:t>2.</w:t>
      </w:r>
      <w:r>
        <w:rPr>
          <w:rFonts w:cs="Times New Roman"/>
          <w:b/>
          <w:bCs/>
          <w:i/>
          <w:iCs/>
          <w:color w:val="000000" w:themeColor="text1"/>
          <w:szCs w:val="28"/>
          <w:lang w:val="vi-VN"/>
        </w:rPr>
        <w:t>5.</w:t>
      </w:r>
      <w:r>
        <w:rPr>
          <w:rFonts w:cs="Times New Roman"/>
          <w:b/>
          <w:bCs/>
          <w:i/>
          <w:iCs/>
          <w:color w:val="000000" w:themeColor="text1"/>
          <w:szCs w:val="28"/>
        </w:rPr>
        <w:t xml:space="preserve"> C</w:t>
      </w:r>
      <w:r>
        <w:rPr>
          <w:rFonts w:cs="Times New Roman"/>
          <w:b/>
          <w:bCs/>
          <w:i/>
          <w:iCs/>
          <w:color w:val="000000" w:themeColor="text1"/>
          <w:szCs w:val="28"/>
          <w:lang w:val="vi-VN"/>
        </w:rPr>
        <w:t>huyển đổ</w:t>
      </w:r>
      <w:r>
        <w:rPr>
          <w:rFonts w:cs="Times New Roman"/>
          <w:b/>
          <w:bCs/>
          <w:i/>
          <w:iCs/>
          <w:color w:val="000000" w:themeColor="text1"/>
          <w:szCs w:val="28"/>
        </w:rPr>
        <w:t>i</w:t>
      </w:r>
      <w:r>
        <w:rPr>
          <w:rFonts w:cs="Times New Roman"/>
          <w:b/>
          <w:bCs/>
          <w:i/>
          <w:iCs/>
          <w:color w:val="000000" w:themeColor="text1"/>
          <w:szCs w:val="28"/>
          <w:lang w:val="vi-VN"/>
        </w:rPr>
        <w:t xml:space="preserve"> số</w:t>
      </w:r>
    </w:p>
    <w:p>
      <w:pPr>
        <w:pStyle w:val="ListParagraph"/>
        <w:spacing w:line="340" w:lineRule="atLeast"/>
        <w:ind w:left="0" w:firstLine="709"/>
        <w:jc w:val="both"/>
        <w:rPr>
          <w:rFonts w:cs="Times New Roman"/>
          <w:szCs w:val="28"/>
        </w:rPr>
      </w:pPr>
      <w:r>
        <w:rPr>
          <w:rFonts w:cs="Times New Roman"/>
          <w:szCs w:val="28"/>
        </w:rPr>
        <w:t>Đã</w:t>
      </w:r>
      <w:r>
        <w:rPr>
          <w:rFonts w:cs="Times New Roman"/>
          <w:szCs w:val="28"/>
        </w:rPr>
        <w:t xml:space="preserve"> tập trung lãnh đạo, chỉ đạo triển khai thực hiện quyết liệt các nhiệm vụ theo Đề án 06, trong đó tập trung vào các nhóm nhiệm vụ về làm sạch cơ sở dữ liệu và đất đai;  tích hợp tài khoản an sinh xã hội trên VneID; thúc đẩy chi trả ASXH cho các đối tượng người có công, bảo trợ xã hội; tích hợp Sổ sức khỏe điện tử và cấp thẻ căn cước, định danh mức độ 2 cho các đối tượng.</w:t>
      </w:r>
      <w:r>
        <w:rPr>
          <w:rFonts w:cs="Times New Roman"/>
          <w:szCs w:val="28"/>
          <w:vertAlign w:val="superscript"/>
        </w:rPr>
        <w:t>(</w:t>
      </w:r>
      <w:r>
        <w:rPr>
          <w:rStyle w:val="FootnoteReference"/>
          <w:rFonts w:cs="Times New Roman"/>
          <w:szCs w:val="28"/>
        </w:rPr>
        <w:footnoteReference w:id="4"/>
      </w:r>
      <w:r>
        <w:rPr>
          <w:rFonts w:cs="Times New Roman"/>
          <w:szCs w:val="28"/>
          <w:vertAlign w:val="superscript"/>
        </w:rPr>
        <w:t>)</w:t>
      </w:r>
      <w:r>
        <w:rPr>
          <w:rFonts w:cs="Times New Roman"/>
          <w:szCs w:val="28"/>
        </w:rPr>
        <w:t xml:space="preserve">  </w:t>
      </w:r>
    </w:p>
    <w:p>
      <w:pPr>
        <w:pStyle w:val="ListParagraph"/>
        <w:spacing w:line="340" w:lineRule="atLeast"/>
        <w:ind w:left="0" w:firstLine="709"/>
        <w:jc w:val="both"/>
        <w:rPr>
          <w:rFonts w:cs="Times New Roman"/>
          <w:color w:val="000000"/>
          <w:szCs w:val="28"/>
        </w:rPr>
      </w:pPr>
      <w:r>
        <w:rPr>
          <w:rFonts w:cs="Times New Roman"/>
          <w:szCs w:val="28"/>
        </w:rPr>
        <w:t xml:space="preserve">UBND xã đã ban hành Kế hoạch, công văn triển khai và tổ chức ra quân triển khai các đợt cao điểm để thực hiện. </w:t>
      </w:r>
      <w:r>
        <w:rPr>
          <w:rFonts w:cs="Times New Roman"/>
          <w:szCs w:val="28"/>
        </w:rPr>
        <w:t>C</w:t>
      </w:r>
      <w:r>
        <w:rPr>
          <w:rFonts w:cs="Times New Roman"/>
          <w:szCs w:val="28"/>
        </w:rPr>
        <w:t xml:space="preserve">ác Tổ công tác đã tập trung tại Nhà Văn hóa thôn và các khu vực dân cư để tuyên truyền vận động và hướng dẫn Nhân dân thực hiện. Bên cạnh đó, </w:t>
      </w:r>
      <w:r>
        <w:rPr>
          <w:rStyle w:val="fontstyle01"/>
          <w:rFonts w:ascii="Times New Roman" w:hAnsi="Times New Roman" w:cs="Times New Roman"/>
          <w:sz w:val="28"/>
          <w:szCs w:val="28"/>
        </w:rPr>
        <w:t>Tổ Công nghệ số cộng đồng các thôn phối hợp Tổ công tác triển khai tiến hành “</w:t>
      </w:r>
      <w:r>
        <w:rPr>
          <w:rStyle w:val="fontstyle21"/>
          <w:rFonts w:ascii="Times New Roman" w:hAnsi="Times New Roman" w:cs="Times New Roman"/>
        </w:rPr>
        <w:t>đi từng ngõ, gõ từng nhà, rà từng người</w:t>
      </w:r>
      <w:r>
        <w:rPr>
          <w:rStyle w:val="fontstyle01"/>
          <w:rFonts w:ascii="Times New Roman" w:hAnsi="Times New Roman" w:cs="Times New Roman"/>
          <w:sz w:val="28"/>
          <w:szCs w:val="28"/>
        </w:rPr>
        <w:t xml:space="preserve">”, vận động, hướng dẫn cá biệt đối với các hộ già cả, neo đơn hoặc có người thân đi làm ăn xa </w:t>
      </w:r>
    </w:p>
    <w:p>
      <w:pPr>
        <w:widowControl w:val="0"/>
        <w:shd w:val="clear" w:color="auto" w:fill="FFFFFF"/>
        <w:spacing w:after="0" w:line="360" w:lineRule="exact"/>
        <w:ind w:firstLine="567"/>
        <w:jc w:val="both"/>
        <w:rPr>
          <w:rFonts w:cs="Times New Roman"/>
          <w:color w:val="000000" w:themeColor="text1"/>
          <w:szCs w:val="28"/>
        </w:rPr>
      </w:pPr>
    </w:p>
    <w:p>
      <w:pPr>
        <w:widowControl w:val="0"/>
        <w:shd w:val="clear" w:color="auto" w:fill="FFFFFF"/>
        <w:spacing w:after="0" w:line="360" w:lineRule="exact"/>
        <w:ind w:firstLine="567"/>
        <w:jc w:val="both"/>
        <w:rPr>
          <w:rFonts w:cs="Times New Roman"/>
          <w:color w:val="000000" w:themeColor="text1"/>
          <w:szCs w:val="28"/>
        </w:rPr>
      </w:pPr>
      <w:r>
        <w:rPr>
          <w:rFonts w:cs="Times New Roman"/>
          <w:b/>
          <w:bCs/>
          <w:i/>
          <w:iCs/>
          <w:color w:val="000000" w:themeColor="text1"/>
          <w:szCs w:val="28"/>
        </w:rPr>
        <w:lastRenderedPageBreak/>
        <w:t>2.</w:t>
      </w:r>
      <w:r>
        <w:rPr>
          <w:rFonts w:cs="Times New Roman"/>
          <w:b/>
          <w:bCs/>
          <w:i/>
          <w:iCs/>
          <w:color w:val="000000" w:themeColor="text1"/>
          <w:szCs w:val="28"/>
          <w:lang w:val="vi-VN"/>
        </w:rPr>
        <w:t xml:space="preserve">6. </w:t>
      </w:r>
      <w:bookmarkStart w:id="0" w:name="dieu_3"/>
      <w:r>
        <w:rPr>
          <w:rFonts w:cs="Times New Roman"/>
          <w:b/>
          <w:bCs/>
          <w:i/>
          <w:iCs/>
          <w:color w:val="000000" w:themeColor="text1"/>
          <w:szCs w:val="28"/>
          <w:lang w:val="vi-VN"/>
        </w:rPr>
        <w:t xml:space="preserve">Công tác </w:t>
      </w:r>
      <w:r>
        <w:rPr>
          <w:rFonts w:cs="Times New Roman"/>
          <w:b/>
          <w:bCs/>
          <w:i/>
          <w:iCs/>
          <w:color w:val="000000" w:themeColor="text1"/>
          <w:szCs w:val="28"/>
        </w:rPr>
        <w:t>T</w:t>
      </w:r>
      <w:r>
        <w:rPr>
          <w:rFonts w:cs="Times New Roman"/>
          <w:b/>
          <w:bCs/>
          <w:i/>
          <w:iCs/>
          <w:color w:val="000000" w:themeColor="text1"/>
          <w:szCs w:val="28"/>
          <w:lang w:val="vi-VN"/>
        </w:rPr>
        <w:t>ôn giáo</w:t>
      </w:r>
      <w:bookmarkEnd w:id="0"/>
    </w:p>
    <w:p>
      <w:pPr>
        <w:widowControl w:val="0"/>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Thực hiện t</w:t>
      </w:r>
      <w:r>
        <w:rPr>
          <w:rFonts w:cs="Times New Roman"/>
          <w:color w:val="000000" w:themeColor="text1"/>
          <w:szCs w:val="28"/>
          <w:lang w:val="vi-VN"/>
        </w:rPr>
        <w:t>uyên truyền, vận động các chức sắc tôn giáo và giáo dân thực hiện tốt đường lối, chủ trương, chính sách của Đảng, pháp luật của Nhà nước. Tổ chức công tác rà soát, lập danh sách các cơ sở tín ngưỡng, cơ sở tôn giáo, tổ chức tôn giáo, tổ chức tôn giáo trực thuộc đang hoạt động trên địa bàn quản lý theo Công văn số 49/SDTTG-KHTH ngày 12/01/2016 của Sở Dân tộc và Tôn giáo tỉnh Quảng Trị.</w:t>
      </w:r>
    </w:p>
    <w:p>
      <w:pP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T</w:t>
      </w:r>
      <w:r>
        <w:rPr>
          <w:rFonts w:cs="Times New Roman"/>
          <w:color w:val="000000" w:themeColor="text1"/>
          <w:szCs w:val="28"/>
          <w:lang w:val="vi-VN"/>
        </w:rPr>
        <w:t>ổ chức làm việc, nắm tình hình và động viên các cơ sở tôn giáo, các giáo xứ, giáo họ</w:t>
      </w:r>
      <w:r>
        <w:rPr>
          <w:rFonts w:cs="Times New Roman"/>
          <w:color w:val="000000" w:themeColor="text1"/>
          <w:szCs w:val="28"/>
        </w:rPr>
        <w:t>. Tuyên truyền, vận động các chức sắc, chức việc, giáo dân chấp hành tốt chủ trương của Đảng, chính sách pháp luật của Nhà nước; tổ chức rà soát, nắm tình hình hoạt động tôn giáo trên địa bàn và quán triệt Luật Tín ngưỡng, tôn giáo cùng các văn bản liên quan.</w:t>
      </w:r>
    </w:p>
    <w:p>
      <w:pPr>
        <w:shd w:val="clear" w:color="auto" w:fill="FFFFFF"/>
        <w:spacing w:after="0" w:line="360" w:lineRule="exact"/>
        <w:ind w:firstLine="567"/>
        <w:jc w:val="both"/>
        <w:rPr>
          <w:rFonts w:cs="Times New Roman"/>
          <w:b/>
          <w:color w:val="000000" w:themeColor="text1"/>
          <w:szCs w:val="28"/>
        </w:rPr>
      </w:pPr>
      <w:r>
        <w:rPr>
          <w:rFonts w:cs="Times New Roman"/>
          <w:b/>
          <w:bCs/>
          <w:i/>
          <w:iCs/>
          <w:color w:val="000000" w:themeColor="text1"/>
          <w:szCs w:val="28"/>
        </w:rPr>
        <w:t>2.7</w:t>
      </w:r>
      <w:r>
        <w:rPr>
          <w:rFonts w:cs="Times New Roman"/>
          <w:b/>
          <w:bCs/>
          <w:i/>
          <w:iCs/>
          <w:color w:val="000000" w:themeColor="text1"/>
          <w:szCs w:val="28"/>
          <w:lang w:val="vi-VN"/>
        </w:rPr>
        <w:t xml:space="preserve">. Công tác </w:t>
      </w:r>
      <w:r>
        <w:rPr>
          <w:rFonts w:cs="Times New Roman"/>
          <w:b/>
          <w:bCs/>
          <w:i/>
          <w:iCs/>
          <w:color w:val="000000" w:themeColor="text1"/>
          <w:szCs w:val="28"/>
        </w:rPr>
        <w:t>T</w:t>
      </w:r>
      <w:r>
        <w:rPr>
          <w:rFonts w:cs="Times New Roman"/>
          <w:b/>
          <w:bCs/>
          <w:i/>
          <w:iCs/>
          <w:color w:val="000000" w:themeColor="text1"/>
          <w:szCs w:val="28"/>
          <w:lang w:val="vi-VN"/>
        </w:rPr>
        <w:t>hi đua khen thưởng</w:t>
      </w:r>
    </w:p>
    <w:p>
      <w:pPr>
        <w:shd w:val="clear" w:color="auto" w:fill="FFFFFF"/>
        <w:spacing w:after="0" w:line="360" w:lineRule="exact"/>
        <w:ind w:firstLine="567"/>
        <w:jc w:val="both"/>
        <w:rPr>
          <w:rFonts w:cs="Times New Roman"/>
          <w:b/>
          <w:color w:val="000000" w:themeColor="text1"/>
          <w:szCs w:val="28"/>
        </w:rPr>
      </w:pPr>
      <w:r>
        <w:rPr>
          <w:rFonts w:cs="Times New Roman"/>
          <w:color w:val="000000" w:themeColor="text1"/>
          <w:szCs w:val="28"/>
        </w:rPr>
        <w:t>T</w:t>
      </w:r>
      <w:r>
        <w:rPr>
          <w:rFonts w:cs="Times New Roman"/>
          <w:color w:val="000000" w:themeColor="text1"/>
          <w:szCs w:val="28"/>
          <w:lang w:val="vi-VN"/>
        </w:rPr>
        <w:t xml:space="preserve">hực hiện công tác thi đua khen thưởng trên tất cả các lĩnh vực, kịp thời động viên, khích lệ các cá nhân, tổ chức đạt thành tích xuất sắc trong tất cả các lĩnh vực. </w:t>
      </w:r>
    </w:p>
    <w:p>
      <w:pPr>
        <w:shd w:val="clear" w:color="auto" w:fill="FFFFFF"/>
        <w:spacing w:after="0" w:line="360" w:lineRule="exact"/>
        <w:ind w:firstLine="567"/>
        <w:jc w:val="both"/>
        <w:rPr>
          <w:rFonts w:cs="Times New Roman"/>
          <w:b/>
          <w:color w:val="000000" w:themeColor="text1"/>
          <w:szCs w:val="28"/>
        </w:rPr>
      </w:pPr>
      <w:r>
        <w:rPr>
          <w:rFonts w:cs="Times New Roman"/>
          <w:b/>
          <w:bCs/>
          <w:i/>
          <w:iCs/>
          <w:color w:val="000000" w:themeColor="text1"/>
          <w:szCs w:val="28"/>
        </w:rPr>
        <w:t>2.8. Lĩnh vực nội vụ</w:t>
      </w:r>
    </w:p>
    <w:p>
      <w:pP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R</w:t>
      </w:r>
      <w:r>
        <w:rPr>
          <w:rFonts w:cs="Times New Roman"/>
          <w:color w:val="000000" w:themeColor="text1"/>
          <w:szCs w:val="28"/>
          <w:lang w:val="vi-VN"/>
        </w:rPr>
        <w:t xml:space="preserve">à soát, xây </w:t>
      </w:r>
      <w:r>
        <w:rPr>
          <w:rFonts w:cs="Times New Roman"/>
          <w:color w:val="000000" w:themeColor="text1"/>
          <w:szCs w:val="28"/>
        </w:rPr>
        <w:t>dựng</w:t>
      </w:r>
      <w:r>
        <w:rPr>
          <w:rFonts w:cs="Times New Roman"/>
          <w:color w:val="000000" w:themeColor="text1"/>
          <w:szCs w:val="28"/>
          <w:lang w:val="vi-VN"/>
        </w:rPr>
        <w:t xml:space="preserve"> phương án sắp xếp, bố trí cán bộ, công chức và người lao động theo Quyết định 1990/QĐ-UBND và Quyết định 3124/QĐ-UBND</w:t>
      </w:r>
      <w:r>
        <w:rPr>
          <w:rFonts w:cs="Times New Roman"/>
          <w:color w:val="000000" w:themeColor="text1"/>
          <w:szCs w:val="28"/>
        </w:rPr>
        <w:t xml:space="preserve"> </w:t>
      </w:r>
      <w:r>
        <w:rPr>
          <w:rFonts w:cs="Times New Roman"/>
          <w:color w:val="000000" w:themeColor="text1"/>
          <w:szCs w:val="28"/>
          <w:lang w:val="vi-VN"/>
        </w:rPr>
        <w:t>của UBND tỉnh</w:t>
      </w:r>
      <w:r>
        <w:rPr>
          <w:rFonts w:cs="Times New Roman"/>
          <w:color w:val="000000" w:themeColor="text1"/>
          <w:szCs w:val="28"/>
        </w:rPr>
        <w:t xml:space="preserve">. </w:t>
      </w:r>
    </w:p>
    <w:p>
      <w:pPr>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 xml:space="preserve">Xây dựng và ban hành phương án sáp nhập, đổi tên các thôn trên địa bàn. Hiện đang trình Sở Nội vụ xem xét, thẩm định. </w:t>
      </w:r>
    </w:p>
    <w:p>
      <w:pPr>
        <w:shd w:val="clear" w:color="auto" w:fill="FFFFFF"/>
        <w:spacing w:after="0" w:line="360" w:lineRule="exact"/>
        <w:ind w:firstLine="567"/>
        <w:jc w:val="both"/>
        <w:rPr>
          <w:rFonts w:cs="Times New Roman"/>
          <w:color w:val="000000" w:themeColor="text1"/>
          <w:szCs w:val="28"/>
        </w:rPr>
      </w:pPr>
      <w:r>
        <w:rPr>
          <w:rFonts w:cs="Times New Roman"/>
          <w:b/>
          <w:bCs/>
          <w:color w:val="000000" w:themeColor="text1"/>
          <w:szCs w:val="28"/>
        </w:rPr>
        <w:t>3. Hoạt động của Trung tâm phục vụ Hành chính công</w:t>
      </w:r>
    </w:p>
    <w:p>
      <w:pPr>
        <w:widowControl w:val="0"/>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Tính từ ngày 15/4/2026 đến hết ngày 31/5/2026, tổng số hồ sơ TTHC được tiếp nhận là  702 hồ sơ. Trong đó, tiếp nhận trực tuyến 610 hồ sơ, tiếp nhận trực tiếp 0 hồ sơ, từ kỳ trước chuyển qua 92 hồ sơ. Tổng số hồ sơ đã giải quyết, trả kết quả là 623 hồ sơ; trong đó giải quyết sớm hạn 622 hồ sơ, đúng hạn 01 hồ sơ, quá hạn 0 hồ sơ. Tổng số hồ sơ đang giải quyết là 79 hồ sơ (đều trong hạn). Kết quả số hóa hồ sơ: tỷ lệ số hóa hồ sơ đầu vào đạt 100%; tỷ lệ số hóa kết quả đầu ra đạt 96,6%, còn một số hồ sơ chưa có kết quả để thực hiện số hóa kết quả theo quy định.</w:t>
      </w:r>
    </w:p>
    <w:p>
      <w:pPr>
        <w:widowControl w:val="0"/>
        <w:shd w:val="clear" w:color="auto" w:fill="FFFFFF"/>
        <w:spacing w:after="0" w:line="360" w:lineRule="exact"/>
        <w:ind w:firstLine="567"/>
        <w:jc w:val="both"/>
        <w:rPr>
          <w:rFonts w:cs="Times New Roman"/>
          <w:color w:val="000000" w:themeColor="text1"/>
          <w:szCs w:val="28"/>
        </w:rPr>
      </w:pPr>
      <w:r>
        <w:rPr>
          <w:rFonts w:cs="Times New Roman"/>
          <w:b/>
          <w:bCs/>
          <w:color w:val="000000" w:themeColor="text1"/>
          <w:szCs w:val="28"/>
        </w:rPr>
        <w:t>4. Công tác tư pháp, giải quyết khiếu nại, tố cáo và tiếp công dân</w:t>
      </w:r>
    </w:p>
    <w:p>
      <w:pPr>
        <w:widowControl w:val="0"/>
        <w:shd w:val="clear" w:color="auto" w:fill="FFFFFF"/>
        <w:spacing w:after="0" w:line="360" w:lineRule="exact"/>
        <w:ind w:firstLine="567"/>
        <w:jc w:val="both"/>
        <w:rPr>
          <w:rFonts w:cs="Times New Roman"/>
          <w:color w:val="000000" w:themeColor="text1"/>
          <w:szCs w:val="28"/>
        </w:rPr>
      </w:pPr>
      <w:r>
        <w:rPr>
          <w:rFonts w:cs="Times New Roman"/>
          <w:bCs/>
          <w:i/>
          <w:iCs/>
          <w:color w:val="000000" w:themeColor="text1"/>
          <w:szCs w:val="28"/>
        </w:rPr>
        <w:t>4.1. Công tác tiếp công dân</w:t>
      </w:r>
    </w:p>
    <w:p>
      <w:pPr>
        <w:tabs>
          <w:tab w:val="num" w:pos="0"/>
        </w:tabs>
        <w:spacing w:after="0" w:line="360" w:lineRule="exact"/>
        <w:ind w:firstLine="567"/>
        <w:jc w:val="both"/>
        <w:rPr>
          <w:rFonts w:cs="Times New Roman"/>
          <w:color w:val="000000" w:themeColor="text1"/>
          <w:szCs w:val="28"/>
        </w:rPr>
      </w:pPr>
      <w:r>
        <w:rPr>
          <w:rFonts w:cs="Times New Roman"/>
          <w:color w:val="000000" w:themeColor="text1"/>
          <w:szCs w:val="28"/>
        </w:rPr>
        <w:t xml:space="preserve">Công tác tiếp công dân được thực hiện theo quy định của Luật Tiếp công dân và các văn bản hướng dẫn thi hành. </w:t>
      </w:r>
      <w:r>
        <w:rPr>
          <w:rFonts w:cs="Times New Roman"/>
          <w:bCs/>
          <w:color w:val="000000" w:themeColor="text1"/>
          <w:szCs w:val="28"/>
        </w:rPr>
        <w:t>Tổng số lượt tiếp công dân là 04 lượt, không có công dân đến.</w:t>
      </w:r>
    </w:p>
    <w:p>
      <w:pPr>
        <w:widowControl w:val="0"/>
        <w:shd w:val="clear" w:color="auto" w:fill="FFFFFF"/>
        <w:spacing w:after="0" w:line="360" w:lineRule="exact"/>
        <w:ind w:firstLine="567"/>
        <w:jc w:val="both"/>
        <w:rPr>
          <w:rFonts w:cs="Times New Roman"/>
          <w:color w:val="000000" w:themeColor="text1"/>
          <w:szCs w:val="28"/>
        </w:rPr>
      </w:pPr>
      <w:r>
        <w:rPr>
          <w:rFonts w:cs="Times New Roman"/>
          <w:bCs/>
          <w:i/>
          <w:iCs/>
          <w:color w:val="000000" w:themeColor="text1"/>
          <w:szCs w:val="28"/>
        </w:rPr>
        <w:t>4.2. Tiếp nhận và xử lý đơn</w:t>
      </w:r>
    </w:p>
    <w:p>
      <w:pPr>
        <w:widowControl w:val="0"/>
        <w:shd w:val="clear" w:color="auto" w:fill="FFFFFF"/>
        <w:spacing w:after="0" w:line="360" w:lineRule="exact"/>
        <w:ind w:firstLine="567"/>
        <w:jc w:val="both"/>
        <w:rPr>
          <w:rFonts w:cs="Times New Roman"/>
          <w:color w:val="000000" w:themeColor="text1"/>
          <w:szCs w:val="28"/>
        </w:rPr>
      </w:pPr>
      <w:r>
        <w:rPr>
          <w:rFonts w:cs="Times New Roman"/>
          <w:color w:val="000000" w:themeColor="text1"/>
          <w:szCs w:val="28"/>
        </w:rPr>
        <w:t>Tổng số đơn tiếp nhận trong tháng là: 33 đơn. Cả 33 đơn đều là đơn kiến nghị, phản ánh thuộc lĩnh vực đất đai, tài nguyên môi trường thuộc thẩm quyền giải quyết của UBND xã. Đã giải quyết 10 đơn, đang tham mưu giải quyết 23 đơn (chưa phát sinh đơn quá hạn).</w:t>
      </w:r>
    </w:p>
    <w:p>
      <w:pPr>
        <w:widowControl w:val="0"/>
        <w:shd w:val="clear" w:color="auto" w:fill="FFFFFF"/>
        <w:spacing w:after="0" w:line="360" w:lineRule="exact"/>
        <w:ind w:firstLine="567"/>
        <w:jc w:val="both"/>
        <w:rPr>
          <w:rFonts w:cs="Times New Roman"/>
          <w:color w:val="000000" w:themeColor="text1"/>
          <w:szCs w:val="28"/>
        </w:rPr>
      </w:pPr>
      <w:r>
        <w:rPr>
          <w:rFonts w:cs="Times New Roman"/>
          <w:bCs/>
          <w:i/>
          <w:color w:val="000000" w:themeColor="text1"/>
          <w:szCs w:val="28"/>
        </w:rPr>
        <w:t>4.3. Công tác tư pháp</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 xml:space="preserve">Tiếp tục triển khai thực hiện các kế hoạch thực hiện nhiệm vụ công tác Tư pháp </w:t>
      </w:r>
      <w:r>
        <w:rPr>
          <w:rFonts w:cs="Times New Roman"/>
          <w:bCs/>
          <w:color w:val="000000" w:themeColor="text1"/>
          <w:szCs w:val="28"/>
        </w:rPr>
        <w:lastRenderedPageBreak/>
        <w:t xml:space="preserve">năm 2026. Chỉ đạo, hướng dẫn các cơ quan, ban ngành, đoàn thể, thực hiện tốt công tác tuyên truyền, phổ biến giáo dục pháp luật tại đơn vị. Thực hiện tốt các nghiệp vụ hành chính tư pháp thuộc thẩm quyền theo quy định </w:t>
      </w:r>
      <w:r>
        <w:rPr>
          <w:rFonts w:cs="Times New Roman"/>
          <w:bCs/>
          <w:color w:val="000000" w:themeColor="text1"/>
          <w:szCs w:val="28"/>
          <w:vertAlign w:val="superscript"/>
        </w:rPr>
        <w:t>(</w:t>
      </w:r>
      <w:r>
        <w:rPr>
          <w:rStyle w:val="FootnoteReference"/>
          <w:rFonts w:cs="Times New Roman"/>
          <w:bCs/>
          <w:color w:val="000000" w:themeColor="text1"/>
          <w:szCs w:val="28"/>
        </w:rPr>
        <w:footnoteReference w:id="5"/>
      </w:r>
      <w:r>
        <w:rPr>
          <w:rFonts w:cs="Times New Roman"/>
          <w:bCs/>
          <w:color w:val="000000" w:themeColor="text1"/>
          <w:szCs w:val="28"/>
          <w:vertAlign w:val="superscript"/>
        </w:rPr>
        <w:t>)</w:t>
      </w:r>
      <w:r>
        <w:rPr>
          <w:rFonts w:cs="Times New Roman"/>
          <w:bCs/>
          <w:color w:val="000000" w:themeColor="text1"/>
          <w:szCs w:val="28"/>
        </w:rPr>
        <w:t>.</w:t>
      </w:r>
    </w:p>
    <w:p>
      <w:pPr>
        <w:widowControl w:val="0"/>
        <w:shd w:val="clear" w:color="auto" w:fill="FFFFFF"/>
        <w:spacing w:after="0" w:line="360" w:lineRule="exact"/>
        <w:ind w:firstLine="567"/>
        <w:jc w:val="both"/>
        <w:rPr>
          <w:rFonts w:cs="Times New Roman"/>
          <w:bCs/>
          <w:i/>
          <w:iCs/>
          <w:color w:val="000000" w:themeColor="text1"/>
          <w:szCs w:val="28"/>
        </w:rPr>
      </w:pPr>
      <w:r>
        <w:rPr>
          <w:rFonts w:cs="Times New Roman"/>
          <w:b/>
          <w:bCs/>
          <w:color w:val="000000" w:themeColor="text1"/>
          <w:szCs w:val="28"/>
        </w:rPr>
        <w:t>5. Công tác Quốc phòng, an ninh</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 xml:space="preserve">Công tác quốc phòng tiếp tục được triển khai thực hiện nghiêm túc, đúng kế hoạch. </w:t>
      </w:r>
      <w:r>
        <w:rPr>
          <w:rFonts w:cs="Times New Roman"/>
          <w:bCs/>
          <w:color w:val="000000" w:themeColor="text1"/>
          <w:szCs w:val="28"/>
          <w:lang w:val="vi-VN"/>
        </w:rPr>
        <w:t>Duy trì nghiêm chế độ trực sẵn sàng chiến đấu, phối hợp tuần tra bảo đảm an ninh trật tự dịp Lễ 30/4, 01/5;</w:t>
      </w:r>
      <w:r>
        <w:rPr>
          <w:rFonts w:cs="Times New Roman"/>
          <w:bCs/>
          <w:color w:val="000000" w:themeColor="text1"/>
          <w:szCs w:val="28"/>
        </w:rPr>
        <w:t xml:space="preserve"> T</w:t>
      </w:r>
      <w:r>
        <w:rPr>
          <w:rFonts w:cs="Times New Roman"/>
          <w:bCs/>
          <w:color w:val="000000" w:themeColor="text1"/>
          <w:szCs w:val="28"/>
          <w:lang w:val="vi-VN"/>
        </w:rPr>
        <w:t xml:space="preserve">riển khai công tác tuyển sinh quân sự với 19 công dân đủ điều kiện đăng ký dự thi vào các trường Quân đội; thành lập tiểu đội dân quân thường trực theo Đề án của UBND tỉnh. </w:t>
      </w:r>
      <w:r>
        <w:rPr>
          <w:rFonts w:cs="Times New Roman"/>
          <w:bCs/>
          <w:color w:val="000000" w:themeColor="text1"/>
          <w:szCs w:val="28"/>
        </w:rPr>
        <w:t>R</w:t>
      </w:r>
      <w:r>
        <w:rPr>
          <w:rFonts w:cs="Times New Roman"/>
          <w:bCs/>
          <w:color w:val="000000" w:themeColor="text1"/>
          <w:szCs w:val="28"/>
          <w:lang w:val="vi-VN"/>
        </w:rPr>
        <w:t xml:space="preserve">à soát, bổ sung các kế hoạch SSCĐ, luyện tập các phương án chiến đấu, phòng chống cháy nổ, cứu </w:t>
      </w:r>
      <w:r>
        <w:rPr>
          <w:rFonts w:cs="Times New Roman"/>
          <w:bCs/>
          <w:color w:val="000000" w:themeColor="text1"/>
          <w:szCs w:val="28"/>
        </w:rPr>
        <w:t>hộ cứu nạn</w:t>
      </w:r>
      <w:r>
        <w:rPr>
          <w:rFonts w:cs="Times New Roman"/>
          <w:bCs/>
          <w:color w:val="000000" w:themeColor="text1"/>
          <w:szCs w:val="28"/>
          <w:lang w:val="vi-VN"/>
        </w:rPr>
        <w:t>.</w:t>
      </w:r>
      <w:r>
        <w:rPr>
          <w:rFonts w:cs="Times New Roman"/>
          <w:bCs/>
          <w:color w:val="000000" w:themeColor="text1"/>
          <w:szCs w:val="28"/>
        </w:rPr>
        <w:t xml:space="preserve"> Tổ chức kiện toàn lực lượng dân quân tự vệ, thành lập 02 đơn vị binh chủng chiến đấu; triển khai huấn luyện dân quân cơ động với quân số 84 đồng chí bảo đảm nội dung, chương trình theo quy định; thực hiện tốt công tác rà soát nguồn quân nhân dự bị, bồi dưỡng kiến thức quốc phòng - an ninh.</w:t>
      </w:r>
    </w:p>
    <w:p>
      <w:pPr>
        <w:widowControl w:val="0"/>
        <w:shd w:val="clear" w:color="auto" w:fill="FFFFFF"/>
        <w:spacing w:after="0" w:line="360" w:lineRule="exact"/>
        <w:ind w:firstLine="567"/>
        <w:jc w:val="both"/>
        <w:rPr>
          <w:rFonts w:cs="Times New Roman"/>
          <w:bCs/>
          <w:color w:val="000000" w:themeColor="text1"/>
          <w:szCs w:val="28"/>
        </w:rPr>
      </w:pPr>
      <w:r>
        <w:rPr>
          <w:rFonts w:cs="Times New Roman"/>
          <w:color w:val="000000" w:themeColor="text1"/>
          <w:spacing w:val="2"/>
          <w:szCs w:val="28"/>
        </w:rPr>
        <w:t>Tình hình an ninh chính trị, trật tự an toàn xã hội trên địa bàn cơ bản ổn định, không xảy ra vụ việc phức tạp, nổi cộm</w:t>
      </w:r>
      <w:r>
        <w:rPr>
          <w:rFonts w:cs="Times New Roman"/>
          <w:bCs/>
          <w:color w:val="000000" w:themeColor="text1"/>
          <w:szCs w:val="28"/>
        </w:rPr>
        <w:t>. Triển khai các phương án bảo đảm an ninh, an toàn cho các sự kiện chính trị, văn hóa, tôn giáo quan trọng. Tình hình an ninh tôn giáo ổn định. Công tác nắm tình hình liên quan các dự án kinh tế trọng điểm trên địa bàn được tăng cường, chưa phát sinh vấn đề phức tạp về ANTT. Trong tháng có 64 lượt người nước ngoài đến tạm trú, lưu trú; hiện có 137 người nước ngoài đang lưu trú, lao động trên địa bàn, chưa phát hiện dấu hiệu liên quan ANQG. Về trật tự an toàn xã hội: xảy ra 01 vụ gây rối trật tự công cộng, đã khởi tố 01 vụ/01 bị can; tiếp tục điều tra, xử lý các vụ việc theo quy định. Công tác phòng chống tội phạm, ma túy được triển khai quyết liệt; đã tổ chức gọi hỏi, răn đe và test ma túy đối với 31 trường hợp nghi vấn, kết quả đều âm tính; hiện quản lý 03 đối tượng sử dụng trái phép chất ma túy và 03 đối tượng sau cai tại địa phương. Tuần tra kiểm soát với 40 ca tuần tra, 160 lượt cán bộ chiến sĩ tham gia; phối hợp 08 ca tuần tra với lực lượng Công an tỉnh nhằm bảo đảm TTATGT, TTCC trên địa bàn. Xử phạt vi phạm hành chính 10 trường hợp đăng ký thường trú quá thời hạn. Tiếp tục triển khai thực hiện Đề án 06, cấp căn cước và định danh điện tử cho công dân từ 06 đến 18 tuổi.</w:t>
      </w:r>
    </w:p>
    <w:p>
      <w:pPr>
        <w:widowControl w:val="0"/>
        <w:shd w:val="clear" w:color="auto" w:fill="FFFFFF"/>
        <w:spacing w:after="0" w:line="360" w:lineRule="exact"/>
        <w:ind w:firstLine="567"/>
        <w:jc w:val="both"/>
        <w:rPr>
          <w:rFonts w:cs="Times New Roman"/>
          <w:b/>
          <w:color w:val="000000" w:themeColor="text1"/>
          <w:szCs w:val="28"/>
        </w:rPr>
      </w:pPr>
      <w:r>
        <w:rPr>
          <w:rFonts w:cs="Times New Roman"/>
          <w:b/>
          <w:color w:val="000000" w:themeColor="text1"/>
          <w:szCs w:val="28"/>
        </w:rPr>
        <w:t>II. Tồn tại, hạn chế và nguyên nhân</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 xml:space="preserve">Công tác tiêm phòng gia súc, gia cầm và phòng bệnh dại chó năm 2026 còn chậm do nguồn vắc xin được cấp chưa kịp thời; nhận thức của một bộ phận người dân về quy định kê khai chăn nuôi còn hạn chế nên tỷ lệ kê khai, tiêm phòng chưa đạt yêu cầu. </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 xml:space="preserve">Hệ thống văn bản pháp luật lĩnh vực đất đai thường xuyên thay đổi, bổ sung dẫn đến quá trình nghiên cứu, áp dụng và giải quyết hồ sơ gặp nhiều khó khăn. Việc phối hợp giữa các cơ quan, đơn vị liên quan trong cung cấp thông tin, trích lục, xác </w:t>
      </w:r>
      <w:r>
        <w:rPr>
          <w:rFonts w:cs="Times New Roman"/>
          <w:bCs/>
          <w:color w:val="000000" w:themeColor="text1"/>
          <w:szCs w:val="28"/>
        </w:rPr>
        <w:lastRenderedPageBreak/>
        <w:t xml:space="preserve">định nghĩa vụ tài chính và trả kết quả hồ sơ còn chậm, ảnh hưởng đến tiến độ giải quyết thủ tục hành chính cho người dân. </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Hệ thống quản lý đất đai VBDLIS chưa cập nhật đầy đủ dữ liệu, một số chức năng xử lý còn hạn chế; công chức phụ trách phải thực hiện nhiều thao tác trên cả Cổng dịch vụ công và phần mềm VBDLIS, đồng thời xử lý thêm một số tác vụ của đơn vị liên quan nên mất nhiều thời gian, dễ phát sinh vướng mắc trong quá trình giải quyết hồ sơ.</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Một số nhiệm vụ theo Đề án 06 triển khai thực hiện chậm, còn có chỉ tiêu chưa đạt KH tỉnh giao</w:t>
      </w:r>
    </w:p>
    <w:p>
      <w:pPr>
        <w:widowControl w:val="0"/>
        <w:shd w:val="clear" w:color="auto" w:fill="FFFFFF"/>
        <w:spacing w:after="0" w:line="360" w:lineRule="exact"/>
        <w:ind w:firstLine="567"/>
        <w:jc w:val="both"/>
        <w:rPr>
          <w:rFonts w:cs="Times New Roman"/>
          <w:b/>
          <w:bCs/>
          <w:color w:val="000000" w:themeColor="text1"/>
          <w:szCs w:val="28"/>
        </w:rPr>
      </w:pPr>
      <w:bookmarkStart w:id="1" w:name="_GoBack"/>
      <w:bookmarkEnd w:id="1"/>
      <w:r>
        <w:rPr>
          <w:rFonts w:cs="Times New Roman"/>
          <w:b/>
          <w:bCs/>
          <w:color w:val="000000" w:themeColor="text1"/>
          <w:szCs w:val="28"/>
        </w:rPr>
        <w:t>III. MỘT SỐ NHIỆM VỤ TRỌNG TÂM THÁNG 6 NĂM 2026</w:t>
      </w:r>
    </w:p>
    <w:p>
      <w:pPr>
        <w:widowControl w:val="0"/>
        <w:shd w:val="clear" w:color="auto" w:fill="FFFFFF"/>
        <w:spacing w:after="0" w:line="360" w:lineRule="exact"/>
        <w:ind w:firstLine="567"/>
        <w:jc w:val="both"/>
        <w:rPr>
          <w:rFonts w:cs="Times New Roman"/>
          <w:b/>
          <w:bCs/>
          <w:color w:val="000000" w:themeColor="text1"/>
          <w:szCs w:val="28"/>
        </w:rPr>
      </w:pPr>
      <w:r>
        <w:rPr>
          <w:rFonts w:cs="Times New Roman"/>
          <w:b/>
          <w:bCs/>
          <w:color w:val="000000" w:themeColor="text1"/>
          <w:szCs w:val="28"/>
        </w:rPr>
        <w:t>1. Lĩnh vực Kinh tế</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Tập trung triển khai thực hiện kế hoạch đầu tư công giai đoạn 2026-2030; thực hiện phân bổ kinh phí đầu tư xây dựng cơ bản, phê duyệt quyết toán các dự án hoàn thành; đánh giá tình hình thu, chi ngân sách 6 tháng đầu năm và triển khai các giải pháp thực hiện nhiệm vụ tài chính - ngân sách 6 tháng cuối năm. Đẩy nhanh tiến độ công tác giải phóng mặt bằng các dự án trọng điểm trên địa bàn, nhất là dự án Đường sắt tốc độ cao trên trục Bắc - Nam và các hạng mục thuộc Trung tâm Điện lực Quảng Trạch; chủ động kiểm tra thực địa, tuyên truyền, vận động Nhân dân chấp hành các quy định về đất đai, xây dựng, xử lý nghiêm các trường hợp vi phạm. Thẩm định, trình phê duyệt Báo cáo KTKT, thiết kế xây dựng, cấp phép xây dựng theo thẩm quyền; tiếp tục thực hiện định danh địa điểm, đánh số nhà và các nhiệm vụ phát triển hạ tầng, đô thị theo Nghị quyết Đại hội Đảng bộ xã nhiệm kỳ 2025-2030.</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Đẩy mạnh công tác quản lý nhà nước trong lĩnh vực công thương; tăng cường kiểm tra, kiểm soát thị trường, phòng chống buôn lậu, gian lận thương mại, hàng giả, hàng kém chất lượng; theo dõi tình hình cung cầu, giá cả hàng hóa nhằm bảo đảm ổn định thị trường, phục vụ nhu cầu thiết yếu của Nhân dân. Rà soát, xây dựng kế hoạch khuyến công địa phương năm 2026 phù hợp tình hình thực tế.</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Tập trung giải quyết thủ tục hành chính lĩnh vực đất đai, tài nguyên môi trường; phối hợp thực hiện công tác giải phóng mặt bằng các công trình, dự án; kiểm tra, xử lý các trường hợp vi phạm về đất đai, tài nguyên, môi trường; giải quyết đơn thư kiến nghị, tranh chấp đất đai theo quy định. Đồng thời phối hợp thực hiện đo đạc, chỉnh lý địa chính, kê khai đăng ký đất đai, cấp giấy chứng nhận quyền sử dụng đất lần đầu cho người dân có nhu cầu. Đẩy mạnh tuyên truyền Luật Khoáng sản, Luật Tài nguyên nước, Luật Biển và Hải đảo Việt Nam; nâng cao nhận thức cộng đồng về tăng trưởng xanh, phát triển kinh tế xanh. Nâng cao hiệu quả kiểm tra việc chấp hành các quy định về bảo vệ môi trường đối với các cơ sở, dự án đang hoạt động; hướng dẫn triển khai các mô hình thu gom, xử lý rác thải; khuyến khích xã hội hóa dịch vụ thu gom rác thải.</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 xml:space="preserve">Tiếp tục chỉ đạo triển khai thực hiện kế hoạch sản xuất vụ Hè Thu năm 2026 bảo đảm đúng khung thời vụ; tập trung rà soát các công trình thủy lợi, diện tích sản </w:t>
      </w:r>
      <w:r>
        <w:rPr>
          <w:rFonts w:cs="Times New Roman"/>
          <w:bCs/>
          <w:color w:val="000000" w:themeColor="text1"/>
          <w:szCs w:val="28"/>
        </w:rPr>
        <w:lastRenderedPageBreak/>
        <w:t>xuất có nguy cơ thiếu nước để chủ động phương án chuyển đổi cây trồng phù hợp. Đẩy mạnh công tác quản lý, điều hành sản xuất nông nghiệp; phối hợp thực hiện các giải pháp bảo đảm nước tưới phục vụ sản xuất. Tăng cường công tác phòng, chống dịch bệnh cho đàn gia súc, gia cầm; hoàn thành tiêm phòng các loại vắc xin theo kế hoạch, triển khai kê khai hoạt động chăn nuôi theo quy định. Tiếp tục thực hiện nhiệm vụ xây dựng nông thôn mới và giảm nghèo; tập trung rà soát các tiêu chí, nâng cao chất lượng thực hiện các chỉ tiêu đã đạt được. Chủ động triển khai công tác phòng, chống thiên tai, theo dõi chặt chẽ tình hình thời tiết để kịp thời thông tin, tuyên truyền cho Nhân dân chủ động trong sản xuất và đời sống. Tiếp tục vận động Nhân dân sử dụng nước sạch; phối hợp với Công ty Cổ phần Biwase Quảng Bình khảo sát, mở rộng hệ thống cấp nước sạch tại các thôn còn lại, góp phần nâng cao tỷ lệ hộ dân sử dụng nước sạch tập trung.</w:t>
      </w:r>
    </w:p>
    <w:p>
      <w:pPr>
        <w:widowControl w:val="0"/>
        <w:shd w:val="clear" w:color="auto" w:fill="FFFFFF"/>
        <w:spacing w:after="0" w:line="360" w:lineRule="exact"/>
        <w:ind w:firstLine="567"/>
        <w:jc w:val="both"/>
        <w:rPr>
          <w:rFonts w:cs="Times New Roman"/>
          <w:b/>
          <w:bCs/>
          <w:color w:val="000000" w:themeColor="text1"/>
          <w:szCs w:val="28"/>
        </w:rPr>
      </w:pPr>
      <w:r>
        <w:rPr>
          <w:rFonts w:cs="Times New Roman"/>
          <w:b/>
          <w:bCs/>
          <w:color w:val="000000" w:themeColor="text1"/>
          <w:szCs w:val="28"/>
        </w:rPr>
        <w:t>2. Lĩnh vực Văn hóa - Xã hội</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chỉ đạo các trường học hoàn thành nhiệm vụ năm học 2025 - 2026; tổ chức tổng kết năm học, thực hiện công tác thi đua, khen thưởng; chuẩn bị các điều kiện tổ chức vinh danh, khen thưởng giáo viên, học sinh đạt thành tích cao. Triển khai tuyển sinh năm học 2026 - 2027; rà soát cơ sở vật chất, thiết bị dạy học, xây dựng kế hoạch năm học mới; tăng cường quản lý, bảo đảm an toàn cho học sinh trong dịp hè.</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đẩy mạnh công tác tuyên truyền các ngày lễ, sự kiện chính trị quan trọng; triển khai các hoạt động hè cho thiếu nhi, tuyên truyền phòng chống tai nạn thương tích, đuối nước, bảo đảm an toàn cho trẻ em.</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Tập trung thực hiện đầy đủ, kịp thời các chế độ, chính sách đối với các đối tượng bảo trợ xã hội; rà soát, hướng dẫn hoàn thiện hồ sơ đối với các đối tượng hưởng hưu trí xã hội và đối tượng khuyết tật. Nâng cao hiệu quả công tác chăm sóc sức khỏe Nhân dân; phối hợp với cơ quan BHXH và các đơn vị liên quan thực hiện cấp thẻ BHYT cho các đối tượng; tăng cường kiểm tra công tác vệ sinh an toàn thực phẩm, hoạt động y tế trên địa bàn. Đẩy mạnh thực hiện chuyển đổi số trong lĩnh vực y tế và an sinh xã hội; phối hợp triển khai cài đặt BHYT điện tử, sổ sức khỏe điện tử toàn dân; thực hiện chi trả trợ cấp an sinh xã hội không dùng tiền mặt đối với các đối tượng bảo trợ xã hội, người có công.</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Tăng cường công tác thông tin, tuyên truyền các ngày lễ, sự kiện trọng đại, trọng tâm là Ngày Quốc tế Thiếu nhi (01/6), Ngày Gia đình Việt Nam (28/6) và các hoạt động hè cho học sinh; nâng cao hiệu quả quản lý các hoạt động văn hóa, dịch vụ trong mùa cao điểm du lịch hè. Đồng thời chủ động theo dõi, nắm chắc tình hình hoạt động tôn giáo trên địa bàn; tuyên truyền, vận động chức sắc, chức việc và giáo dân chấp hành tốt chủ trương của Đảng, chính sách pháp luật của Nhà nước.</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chỉ đạo xây dựng phương án sắp xếp, bố trí cán bộ, công chức theo Nghị định 361/2025/NĐ-CP ngày 31/12/2025 của Chính phủ về quy định vị trí việc làm công chức, bảo đảm hoàn thành đúng tiến độ theo quy định.</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lastRenderedPageBreak/>
        <w:t>Tập trung chỉ đạo công tác sắp xếp, sáp nhập thôn theo Nghị định số 185/2025/NĐ-CP của Chính phủ; đẩy mạnh công tác tuyên truyền, vận động Nhân dân tạo sự đồng thuận trong quá trình thực hiện; rà soát, hoàn thiện các điều kiện về tổ chức, nhân sự, cơ sở vật chất, thiết chế văn hóa sau sáp nhập; bảo đảm ổn định đời sống Nhân dân, nâng cao hiệu quả hoạt động của các thôn sau khi sắp xếp.</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đẩy mạnh triển khai thực hiện hiệu quả Đề án 06 của Chính phủ: thực hiện rà soát, làm sạch cơ sở dữ liệu đất đai; thúc đẩy chi trả an sinh xã hội không dùng tiền mặt; đẩy mạnh tích hợp tài khoản hưởng an sinh xã hội, Sổ sức khỏe điện tử trên ứng dụng VNeID; tăng cường cấp thẻ căn cước công dân và tài khoản định danh điện tử mức độ 2, bảo đảm hoàn thành các chỉ tiêu theo kế hoạch đề ra.</w:t>
      </w:r>
    </w:p>
    <w:p>
      <w:pPr>
        <w:widowControl w:val="0"/>
        <w:shd w:val="clear" w:color="auto" w:fill="FFFFFF"/>
        <w:spacing w:after="0" w:line="360" w:lineRule="exact"/>
        <w:ind w:firstLine="567"/>
        <w:jc w:val="both"/>
        <w:rPr>
          <w:rFonts w:cs="Times New Roman"/>
          <w:b/>
          <w:bCs/>
          <w:color w:val="000000" w:themeColor="text1"/>
          <w:szCs w:val="28"/>
        </w:rPr>
      </w:pPr>
      <w:r>
        <w:rPr>
          <w:rFonts w:cs="Times New Roman"/>
          <w:b/>
          <w:bCs/>
          <w:color w:val="000000" w:themeColor="text1"/>
          <w:szCs w:val="28"/>
        </w:rPr>
        <w:t>3. Công tác tư pháp, giải quyết khiếu nại, tố cáo và tiếp công dân</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thực hiện tốt công tác tư pháp theo quy định; duy trì công tác tiếp công dân định kỳ và đột xuất. Tiếp nhận, phân loại và đôn đốc các phòng, trung tâm, đơn vị thuộc UBND xã khẩn trương giải quyết các đơn thư thuộc thẩm quyền.</w:t>
      </w:r>
    </w:p>
    <w:p>
      <w:pPr>
        <w:widowControl w:val="0"/>
        <w:shd w:val="clear" w:color="auto" w:fill="FFFFFF"/>
        <w:spacing w:after="0" w:line="360" w:lineRule="exact"/>
        <w:ind w:firstLine="567"/>
        <w:jc w:val="both"/>
        <w:rPr>
          <w:rFonts w:cs="Times New Roman"/>
          <w:b/>
          <w:bCs/>
          <w:color w:val="000000" w:themeColor="text1"/>
          <w:szCs w:val="28"/>
        </w:rPr>
      </w:pPr>
      <w:r>
        <w:rPr>
          <w:rFonts w:cs="Times New Roman"/>
          <w:b/>
          <w:bCs/>
          <w:color w:val="000000" w:themeColor="text1"/>
          <w:szCs w:val="28"/>
        </w:rPr>
        <w:t>4. Lĩnh vực Quốc phòng - an ninh</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duy trì nghiêm chế độ trực sẵn sàng chiến đấu 50% quân số; nắm chắc tình hình địa bàn, bảo đảm an toàn trong các thời điểm cao điểm, chủ động xử lý hiệu quả các tình huống phát sinh, không để bị động, bất ngờ. Tổ chức huấn luyện các đối tượng theo kế hoạch, luyện tập chỉ huy - tham mưu 1 bên, 1 cấp trên bản đồ; thực hiện bàn giao quân nhân dự bị tham gia huấn luyện tiểu đoàn dự bị động viên năm 2026. Tăng cường công tác quản lý kỷ luật, quản lý tư tưởng, đẩy mạnh các phong trào thi đua trong toàn lực lượng; bảo đảm tốt công tác hậu cần, tài chính, vũ khí trang bị phục vụ nhiệm vụ huấn luyện, SSCĐ và phòng chống thiên tai, tìm kiếm cứu nạn.</w:t>
      </w:r>
    </w:p>
    <w:p>
      <w:pPr>
        <w:widowControl w:val="0"/>
        <w:shd w:val="clear" w:color="auto" w:fill="FFFFFF"/>
        <w:spacing w:after="0" w:line="360" w:lineRule="exact"/>
        <w:ind w:firstLine="567"/>
        <w:jc w:val="both"/>
        <w:rPr>
          <w:rFonts w:cs="Times New Roman"/>
          <w:bCs/>
          <w:color w:val="000000" w:themeColor="text1"/>
          <w:szCs w:val="28"/>
        </w:rPr>
      </w:pPr>
      <w:r>
        <w:rPr>
          <w:rFonts w:cs="Times New Roman"/>
          <w:bCs/>
          <w:color w:val="000000" w:themeColor="text1"/>
          <w:szCs w:val="28"/>
        </w:rPr>
        <w:t>Tiếp tục nắm chắc tình hình, kịp thời chỉ đạo giải quyết các vấn đề liên quan an ninh quốc gia; bảo đảm an ninh trật tự các sự kiện chính trị, hoạt động kỷ niệm và các đoàn lãnh đạo, khách quốc tế đến địa phương. Tăng cường công tác phòng ngừa, đấu tranh với các loại tội phạm và vi phạm pháp luật; nâng cao hiệu quả tiếp nhận, giải quyết tố giác, tin báo tội phạm, đẩy nhanh tiến độ xác minh, xử lý các vụ án, vụ việc đang thụ lý. Đẩy mạnh thực hiện Đề án 06 gắn với cải cách hành chính, giải quyết thủ tục cư trú, đăng ký phương tiện trên dịch vụ công trực tuyến; tăng cường tuyên truyền, kiểm tra công tác phòng cháy chữa cháy và quản lý các ngành nghề đầu tư kinh doanh có điều kiện về ANTT. Triển khai hiệu quả Đề án xây dựng lực lượng Công an thật sự trong sạch, vững mạnh, chính quy, tinh nhuệ, hiện đại; phối hợp thành lập Hội Cựu CAND xã, vận động cán bộ công an hưu trí tham gia. Đồng thời bảo đảm tốt công tác tài chính, hậu cần phục vụ nhiệm vụ thường xuyên, đột xuất và trực sẵn sàng chiến đấu.</w:t>
      </w:r>
    </w:p>
    <w:p>
      <w:pPr>
        <w:widowControl w:val="0"/>
        <w:pBdr>
          <w:top w:val="dotted" w:sz="4" w:space="10" w:color="FFFFFF"/>
          <w:left w:val="dotted" w:sz="4" w:space="0" w:color="FFFFFF"/>
          <w:bottom w:val="dotted" w:sz="4" w:space="7" w:color="FFFFFF"/>
          <w:right w:val="dotted" w:sz="4" w:space="0" w:color="FFFFFF"/>
        </w:pBdr>
        <w:shd w:val="clear" w:color="auto" w:fill="FFFFFF"/>
        <w:spacing w:before="120" w:after="120" w:line="240" w:lineRule="auto"/>
        <w:ind w:firstLine="567"/>
        <w:jc w:val="both"/>
        <w:rPr>
          <w:rFonts w:cs="Times New Roman"/>
          <w:bCs/>
          <w:color w:val="000000" w:themeColor="text1"/>
          <w:szCs w:val="28"/>
        </w:rPr>
      </w:pPr>
      <w:r>
        <w:rPr>
          <w:rFonts w:cs="Times New Roman"/>
          <w:bCs/>
          <w:color w:val="000000" w:themeColor="text1"/>
          <w:szCs w:val="28"/>
        </w:rPr>
        <w:t>Trên đây là báo cáo tình hình kinh tế - xã hội tháng 5 và nhiệm vụ trọng tâm tháng 6 năm 2026 của xã Phú Trạch./.</w:t>
      </w:r>
    </w:p>
    <w:tbl>
      <w:tblPr>
        <w:tblW w:w="8823" w:type="dxa"/>
        <w:tblInd w:w="108" w:type="dxa"/>
        <w:tblLook w:val="04A0" w:firstRow="1" w:lastRow="0" w:firstColumn="1" w:lastColumn="0" w:noHBand="0" w:noVBand="1"/>
      </w:tblPr>
      <w:tblGrid>
        <w:gridCol w:w="4145"/>
        <w:gridCol w:w="4678"/>
      </w:tblGrid>
      <w:tr>
        <w:trPr>
          <w:trHeight w:val="2040"/>
        </w:trPr>
        <w:tc>
          <w:tcPr>
            <w:tcW w:w="4145" w:type="dxa"/>
          </w:tcPr>
          <w:p>
            <w:pPr>
              <w:keepNext/>
              <w:widowControl w:val="0"/>
              <w:spacing w:after="0" w:line="240" w:lineRule="auto"/>
              <w:rPr>
                <w:rFonts w:eastAsia="Times New Roman" w:cs="Times New Roman"/>
                <w:b/>
                <w:i/>
                <w:color w:val="000000" w:themeColor="text1"/>
                <w:position w:val="6"/>
                <w:sz w:val="24"/>
                <w:szCs w:val="24"/>
              </w:rPr>
            </w:pPr>
            <w:r>
              <w:rPr>
                <w:rFonts w:eastAsia="Times New Roman" w:cs="Times New Roman"/>
                <w:b/>
                <w:i/>
                <w:color w:val="000000" w:themeColor="text1"/>
                <w:position w:val="6"/>
                <w:sz w:val="24"/>
                <w:szCs w:val="24"/>
              </w:rPr>
              <w:lastRenderedPageBreak/>
              <w:t>Nơi nhận:</w:t>
            </w:r>
          </w:p>
          <w:p>
            <w:pPr>
              <w:keepNext/>
              <w:widowControl w:val="0"/>
              <w:spacing w:after="0" w:line="240" w:lineRule="auto"/>
              <w:ind w:left="-108"/>
              <w:rPr>
                <w:rFonts w:eastAsia="Times New Roman" w:cs="Times New Roman"/>
                <w:color w:val="000000" w:themeColor="text1"/>
                <w:position w:val="6"/>
                <w:sz w:val="22"/>
              </w:rPr>
            </w:pPr>
            <w:r>
              <w:rPr>
                <w:rFonts w:eastAsia="Times New Roman" w:cs="Times New Roman"/>
                <w:noProof/>
                <w:color w:val="000000" w:themeColor="text1"/>
                <w:position w:val="6"/>
                <w:sz w:val="22"/>
              </w:rPr>
              <mc:AlternateContent>
                <mc:Choice Requires="wps">
                  <w:drawing>
                    <wp:anchor distT="0" distB="0" distL="114300" distR="114300" simplePos="0" relativeHeight="251662336" behindDoc="0" locked="0" layoutInCell="1" allowOverlap="1">
                      <wp:simplePos x="0" y="0"/>
                      <wp:positionH relativeFrom="column">
                        <wp:posOffset>1492885</wp:posOffset>
                      </wp:positionH>
                      <wp:positionV relativeFrom="paragraph">
                        <wp:posOffset>12168</wp:posOffset>
                      </wp:positionV>
                      <wp:extent cx="55606" cy="531341"/>
                      <wp:effectExtent l="0" t="0" r="40005" b="21590"/>
                      <wp:wrapNone/>
                      <wp:docPr id="902717858" name="Right Brace 5"/>
                      <wp:cNvGraphicFramePr/>
                      <a:graphic xmlns:a="http://schemas.openxmlformats.org/drawingml/2006/main">
                        <a:graphicData uri="http://schemas.microsoft.com/office/word/2010/wordprocessingShape">
                          <wps:wsp>
                            <wps:cNvSpPr/>
                            <wps:spPr>
                              <a:xfrm>
                                <a:off x="0" y="0"/>
                                <a:ext cx="55606" cy="531341"/>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17.55pt;margin-top:.95pt;width:4.4pt;height:41.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" adj="188" strokecolor="black [3200]" strokeweight=".5pt">
                      <v:stroke joinstyle="miter"/>
                    </v:shape>
                  </w:pict>
                </mc:Fallback>
              </mc:AlternateContent>
            </w:r>
            <w:r>
              <w:rPr>
                <w:rFonts w:eastAsia="Times New Roman" w:cs="Times New Roman"/>
                <w:color w:val="000000" w:themeColor="text1"/>
                <w:position w:val="6"/>
                <w:sz w:val="22"/>
              </w:rPr>
              <w:t>- Sở Tài chính;</w:t>
            </w:r>
            <w:r>
              <w:rPr>
                <w:rFonts w:eastAsia="Times New Roman" w:cs="Times New Roman"/>
                <w:color w:val="000000" w:themeColor="text1"/>
                <w:position w:val="6"/>
                <w:sz w:val="22"/>
              </w:rPr>
              <w:tab/>
            </w:r>
          </w:p>
          <w:p>
            <w:pPr>
              <w:keepNext/>
              <w:widowControl w:val="0"/>
              <w:tabs>
                <w:tab w:val="left" w:pos="2656"/>
              </w:tabs>
              <w:spacing w:after="0" w:line="240" w:lineRule="auto"/>
              <w:ind w:left="-108"/>
              <w:rPr>
                <w:rFonts w:eastAsia="Times New Roman" w:cs="Times New Roman"/>
                <w:color w:val="000000" w:themeColor="text1"/>
                <w:position w:val="6"/>
                <w:sz w:val="22"/>
              </w:rPr>
            </w:pPr>
            <w:r>
              <w:rPr>
                <w:rFonts w:eastAsia="Times New Roman" w:cs="Times New Roman"/>
                <w:color w:val="000000" w:themeColor="text1"/>
                <w:position w:val="6"/>
                <w:sz w:val="22"/>
              </w:rPr>
              <w:t>- Ban Thường vụ Đảng ủy;</w:t>
            </w:r>
            <w:r>
              <w:rPr>
                <w:rFonts w:eastAsia="Times New Roman" w:cs="Times New Roman"/>
                <w:color w:val="000000" w:themeColor="text1"/>
                <w:position w:val="6"/>
                <w:sz w:val="22"/>
              </w:rPr>
              <w:tab/>
              <w:t>(Để báo cáo)</w:t>
            </w:r>
          </w:p>
          <w:p>
            <w:pPr>
              <w:keepNext/>
              <w:widowControl w:val="0"/>
              <w:spacing w:after="0" w:line="240" w:lineRule="auto"/>
              <w:ind w:left="-108"/>
              <w:rPr>
                <w:rFonts w:eastAsia="Times New Roman" w:cs="Times New Roman"/>
                <w:color w:val="000000" w:themeColor="text1"/>
                <w:position w:val="6"/>
                <w:sz w:val="22"/>
              </w:rPr>
            </w:pPr>
            <w:r>
              <w:rPr>
                <w:rFonts w:eastAsia="Times New Roman" w:cs="Times New Roman"/>
                <w:color w:val="000000" w:themeColor="text1"/>
                <w:position w:val="6"/>
                <w:sz w:val="22"/>
              </w:rPr>
              <w:t>- Thường trực HĐND xã;</w:t>
            </w:r>
          </w:p>
          <w:p>
            <w:pPr>
              <w:keepNext/>
              <w:widowControl w:val="0"/>
              <w:spacing w:after="0" w:line="240" w:lineRule="auto"/>
              <w:ind w:left="-108"/>
              <w:rPr>
                <w:rFonts w:eastAsia="Times New Roman" w:cs="Times New Roman"/>
                <w:color w:val="000000" w:themeColor="text1"/>
                <w:position w:val="6"/>
                <w:sz w:val="22"/>
              </w:rPr>
            </w:pPr>
            <w:r>
              <w:rPr>
                <w:rFonts w:eastAsia="Times New Roman" w:cs="Times New Roman"/>
                <w:color w:val="000000" w:themeColor="text1"/>
                <w:position w:val="6"/>
                <w:sz w:val="22"/>
              </w:rPr>
              <w:t>- Chủ tịch, các PCT UBND xã;</w:t>
            </w:r>
          </w:p>
          <w:p>
            <w:pPr>
              <w:keepNext/>
              <w:widowControl w:val="0"/>
              <w:spacing w:after="0" w:line="240" w:lineRule="auto"/>
              <w:ind w:left="-108"/>
              <w:rPr>
                <w:rFonts w:eastAsia="Times New Roman" w:cs="Times New Roman"/>
                <w:color w:val="000000" w:themeColor="text1"/>
                <w:position w:val="6"/>
                <w:sz w:val="22"/>
              </w:rPr>
            </w:pPr>
            <w:r>
              <w:rPr>
                <w:rFonts w:eastAsia="Times New Roman" w:cs="Times New Roman"/>
                <w:color w:val="000000" w:themeColor="text1"/>
                <w:position w:val="6"/>
                <w:sz w:val="22"/>
              </w:rPr>
              <w:t>- UBMTTQVN xã;</w:t>
            </w:r>
          </w:p>
          <w:p>
            <w:pPr>
              <w:keepNext/>
              <w:widowControl w:val="0"/>
              <w:spacing w:after="0" w:line="240" w:lineRule="auto"/>
              <w:ind w:left="-108"/>
              <w:rPr>
                <w:rFonts w:eastAsia="Times New Roman" w:cs="Times New Roman"/>
                <w:color w:val="000000" w:themeColor="text1"/>
                <w:position w:val="6"/>
                <w:sz w:val="22"/>
              </w:rPr>
            </w:pPr>
            <w:r>
              <w:rPr>
                <w:rFonts w:eastAsia="Times New Roman" w:cs="Times New Roman"/>
                <w:color w:val="000000" w:themeColor="text1"/>
                <w:position w:val="6"/>
                <w:sz w:val="22"/>
              </w:rPr>
              <w:t>- Các cơ quan, đơn vị;</w:t>
            </w:r>
          </w:p>
          <w:p>
            <w:pPr>
              <w:keepNext/>
              <w:widowControl w:val="0"/>
              <w:spacing w:after="0" w:line="240" w:lineRule="auto"/>
              <w:ind w:left="-108"/>
              <w:rPr>
                <w:rFonts w:eastAsia="Times New Roman" w:cs="Times New Roman"/>
                <w:i/>
                <w:color w:val="000000" w:themeColor="text1"/>
                <w:position w:val="6"/>
                <w:szCs w:val="28"/>
              </w:rPr>
            </w:pPr>
            <w:r>
              <w:rPr>
                <w:rFonts w:eastAsia="Times New Roman" w:cs="Times New Roman"/>
                <w:color w:val="000000" w:themeColor="text1"/>
                <w:position w:val="6"/>
                <w:sz w:val="22"/>
              </w:rPr>
              <w:t>- Lưu: VT,VP.</w:t>
            </w:r>
          </w:p>
        </w:tc>
        <w:tc>
          <w:tcPr>
            <w:tcW w:w="4678" w:type="dxa"/>
          </w:tcPr>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TM. ỦY BAN NHÂN DÂN</w:t>
            </w:r>
          </w:p>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CHỦ TỊCH</w:t>
            </w:r>
          </w:p>
          <w:p>
            <w:pPr>
              <w:keepNext/>
              <w:widowControl w:val="0"/>
              <w:spacing w:after="0" w:line="240" w:lineRule="auto"/>
              <w:jc w:val="center"/>
              <w:rPr>
                <w:rFonts w:eastAsia="Times New Roman" w:cs="Times New Roman"/>
                <w:b/>
                <w:color w:val="000000" w:themeColor="text1"/>
                <w:position w:val="6"/>
                <w:szCs w:val="28"/>
              </w:rPr>
            </w:pPr>
          </w:p>
          <w:p>
            <w:pPr>
              <w:keepNext/>
              <w:widowControl w:val="0"/>
              <w:spacing w:after="0" w:line="240" w:lineRule="auto"/>
              <w:jc w:val="center"/>
              <w:rPr>
                <w:rFonts w:eastAsia="Times New Roman" w:cs="Times New Roman"/>
                <w:b/>
                <w:color w:val="000000" w:themeColor="text1"/>
                <w:position w:val="6"/>
                <w:szCs w:val="28"/>
              </w:rPr>
            </w:pPr>
          </w:p>
          <w:p>
            <w:pPr>
              <w:keepNext/>
              <w:widowControl w:val="0"/>
              <w:spacing w:after="0" w:line="240" w:lineRule="auto"/>
              <w:jc w:val="center"/>
              <w:rPr>
                <w:rFonts w:eastAsia="Times New Roman" w:cs="Times New Roman"/>
                <w:b/>
                <w:color w:val="000000" w:themeColor="text1"/>
                <w:position w:val="6"/>
                <w:szCs w:val="28"/>
              </w:rPr>
            </w:pPr>
          </w:p>
          <w:p>
            <w:pPr>
              <w:keepNext/>
              <w:widowControl w:val="0"/>
              <w:spacing w:after="0" w:line="240" w:lineRule="auto"/>
              <w:rPr>
                <w:rFonts w:eastAsia="Times New Roman" w:cs="Times New Roman"/>
                <w:b/>
                <w:color w:val="000000" w:themeColor="text1"/>
                <w:position w:val="6"/>
                <w:szCs w:val="28"/>
              </w:rPr>
            </w:pPr>
          </w:p>
          <w:p>
            <w:pPr>
              <w:keepNext/>
              <w:widowControl w:val="0"/>
              <w:spacing w:after="0" w:line="240" w:lineRule="auto"/>
              <w:jc w:val="center"/>
              <w:rPr>
                <w:rFonts w:eastAsia="Times New Roman" w:cs="Times New Roman"/>
                <w:b/>
                <w:color w:val="000000" w:themeColor="text1"/>
                <w:position w:val="6"/>
                <w:szCs w:val="28"/>
              </w:rPr>
            </w:pPr>
          </w:p>
          <w:p>
            <w:pPr>
              <w:keepNext/>
              <w:widowControl w:val="0"/>
              <w:spacing w:after="0" w:line="240" w:lineRule="auto"/>
              <w:jc w:val="center"/>
              <w:rPr>
                <w:rFonts w:eastAsia="Times New Roman" w:cs="Times New Roman"/>
                <w:b/>
                <w:color w:val="000000" w:themeColor="text1"/>
                <w:position w:val="6"/>
                <w:szCs w:val="28"/>
              </w:rPr>
            </w:pPr>
            <w:r>
              <w:rPr>
                <w:rFonts w:eastAsia="Times New Roman" w:cs="Times New Roman"/>
                <w:b/>
                <w:color w:val="000000" w:themeColor="text1"/>
                <w:position w:val="6"/>
                <w:szCs w:val="28"/>
              </w:rPr>
              <w:t xml:space="preserve">  Phạm Minh Cảnh</w:t>
            </w:r>
          </w:p>
        </w:tc>
      </w:tr>
    </w:tbl>
    <w:p>
      <w:pPr>
        <w:ind w:firstLine="567"/>
        <w:jc w:val="both"/>
        <w:rPr>
          <w:rFonts w:cs="Times New Roman"/>
          <w:color w:val="000000" w:themeColor="text1"/>
          <w:position w:val="6"/>
          <w:szCs w:val="28"/>
        </w:rPr>
      </w:pPr>
    </w:p>
    <w:sectPr>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ind w:firstLine="709"/>
        <w:jc w:val="both"/>
        <w:outlineLvl w:val="0"/>
        <w:rPr>
          <w:bCs/>
          <w:sz w:val="24"/>
          <w:szCs w:val="24"/>
        </w:rPr>
      </w:pPr>
      <w:r>
        <w:rPr>
          <w:bCs/>
          <w:sz w:val="24"/>
          <w:szCs w:val="24"/>
          <w:vertAlign w:val="superscript"/>
        </w:rPr>
        <w:t>(</w:t>
      </w:r>
      <w:r>
        <w:rPr>
          <w:rStyle w:val="FootnoteReference"/>
          <w:bCs/>
          <w:sz w:val="24"/>
          <w:szCs w:val="24"/>
        </w:rPr>
        <w:footnoteRef/>
      </w:r>
      <w:r>
        <w:rPr>
          <w:bCs/>
          <w:sz w:val="24"/>
          <w:szCs w:val="24"/>
          <w:vertAlign w:val="superscript"/>
        </w:rPr>
        <w:t>)</w:t>
      </w:r>
      <w:r>
        <w:rPr>
          <w:bCs/>
          <w:sz w:val="24"/>
          <w:szCs w:val="24"/>
        </w:rPr>
        <w:t xml:space="preserve"> Ngô 87ha, NSBQ 48 tạ/ha, sản lượng 417,6 tấn; Lạc 100 ha, NSBQ 24 tạ/ha sản lượng 240 tấn; Vừng 30 ha, NSBQ 7 tạ/ha, sản lượng 21 tấn; Đậu đỗ 40 ha, NSBQ 10 tạ/ha, sản lượng 40 tấn; Khoai lang 50ha, NSBQ 60 tạ/ha, sản lượng 300 tấn; Rau màu 50</w:t>
      </w:r>
      <w:r>
        <w:rPr>
          <w:bCs/>
          <w:color w:val="EE0000"/>
          <w:sz w:val="24"/>
          <w:szCs w:val="24"/>
        </w:rPr>
        <w:t xml:space="preserve"> </w:t>
      </w:r>
      <w:r>
        <w:rPr>
          <w:bCs/>
          <w:sz w:val="24"/>
          <w:szCs w:val="24"/>
        </w:rPr>
        <w:t>ha, NSBQ 80 tạ/ha, sản lượng 400 tấn; Sắn 10 ha (đánh giá năng suất vụ hè thu).</w:t>
      </w:r>
    </w:p>
  </w:footnote>
  <w:footnote w:id="2">
    <w:p>
      <w:pPr>
        <w:widowControl w:val="0"/>
        <w:spacing w:before="120" w:after="120" w:line="240" w:lineRule="auto"/>
        <w:jc w:val="both"/>
        <w:rPr>
          <w:rFonts w:cs="Times New Roman"/>
          <w:sz w:val="24"/>
          <w:szCs w:val="24"/>
        </w:rPr>
      </w:pPr>
      <w:r>
        <w:rPr>
          <w:sz w:val="24"/>
          <w:szCs w:val="24"/>
          <w:vertAlign w:val="superscript"/>
        </w:rPr>
        <w:t>(</w:t>
      </w:r>
      <w:r>
        <w:rPr>
          <w:rStyle w:val="FootnoteReference"/>
          <w:sz w:val="24"/>
          <w:szCs w:val="24"/>
        </w:rPr>
        <w:footnoteRef/>
      </w:r>
      <w:r>
        <w:rPr>
          <w:sz w:val="24"/>
          <w:szCs w:val="24"/>
          <w:vertAlign w:val="superscript"/>
        </w:rPr>
        <w:t>)</w:t>
      </w:r>
      <w:r>
        <w:rPr>
          <w:sz w:val="24"/>
          <w:szCs w:val="24"/>
        </w:rPr>
        <w:t xml:space="preserve"> </w:t>
      </w:r>
      <w:r>
        <w:rPr>
          <w:rFonts w:cs="Times New Roman"/>
          <w:sz w:val="24"/>
          <w:szCs w:val="24"/>
        </w:rPr>
        <w:t>Trong đó, đã trả kết quả 02 hồ sơ; 06 hồ sơ đã chuyển thông tin sang cơ quan Thuế để xác định nghĩa vụ tài chính; 03 hồ sơ đang đề nghị Chi nhánh Văn phòng Đăng ký đất đai Khu vực I cung cấp trích lục địa chính.</w:t>
      </w:r>
    </w:p>
  </w:footnote>
  <w:footnote w:id="3">
    <w:p>
      <w:pPr>
        <w:pStyle w:val="FootnoteText"/>
        <w:jc w:val="both"/>
        <w:rPr>
          <w:rFonts w:cs="Times New Roman"/>
          <w:sz w:val="24"/>
          <w:szCs w:val="24"/>
        </w:rPr>
      </w:pPr>
      <w:r>
        <w:rPr>
          <w:sz w:val="24"/>
          <w:szCs w:val="24"/>
          <w:vertAlign w:val="superscript"/>
        </w:rPr>
        <w:t>(</w:t>
      </w:r>
      <w:r>
        <w:rPr>
          <w:rStyle w:val="FootnoteReference"/>
          <w:sz w:val="24"/>
          <w:szCs w:val="24"/>
        </w:rPr>
        <w:footnoteRef/>
      </w:r>
      <w:r>
        <w:rPr>
          <w:sz w:val="24"/>
          <w:szCs w:val="24"/>
          <w:vertAlign w:val="superscript"/>
        </w:rPr>
        <w:t>)</w:t>
      </w:r>
      <w:r>
        <w:rPr>
          <w:sz w:val="24"/>
          <w:szCs w:val="24"/>
        </w:rPr>
        <w:t xml:space="preserve"> </w:t>
      </w:r>
      <w:r>
        <w:rPr>
          <w:rFonts w:cs="Times New Roman"/>
          <w:sz w:val="24"/>
          <w:szCs w:val="24"/>
        </w:rPr>
        <w:t>Trong đó, đã trả kết quả 03 hồ sơ; 07 hồ sơ đang chuyển thông tin sang cơ quan Thuế; 22 hồ sơ đang xử lý; 03 trường hợp đang hoàn thiện hồ sơ cấp Giấy chứng nhận quyền sử dụng đất.</w:t>
      </w:r>
    </w:p>
  </w:footnote>
  <w:footnote w:id="4">
    <w:p>
      <w:pPr>
        <w:pStyle w:val="FootnoteText"/>
        <w:jc w:val="both"/>
      </w:pPr>
      <w:r>
        <w:rPr>
          <w:rStyle w:val="FootnoteReference"/>
        </w:rPr>
        <w:footnoteRef/>
      </w:r>
      <w:r>
        <w:t xml:space="preserve"> </w:t>
      </w:r>
      <w:r>
        <w:t xml:space="preserve">1. Rà soát, làm sạch CSDL đất đai </w:t>
      </w:r>
    </w:p>
    <w:p>
      <w:pPr>
        <w:pStyle w:val="FootnoteText"/>
        <w:jc w:val="both"/>
      </w:pPr>
      <w:r>
        <w:t>- Đối với nhiệm vụ làm sạch CSDLQG về đất đai, đảm bảo “đúng, đủ, sạch, sống” (nhiệm vụ 3.7 tại Kế hoạch số 2959/KH-BNNMT-BCA ngày 29/3/2026 của Bộ Nông nghiệp và Môi trường và Bộ Công an, yêu cầu hoàn thành trước ngày 30/6/2026): Tính đến ngày 04/6, UBND xã Phú Trạch là một trong 33 xã có kết quả cao hơn mức trung bình của tỉnh (số liệu có cải thiện so với mốc ngày 26/5).</w:t>
      </w:r>
    </w:p>
    <w:p>
      <w:pPr>
        <w:pStyle w:val="FootnoteText"/>
        <w:jc w:val="both"/>
      </w:pPr>
      <w:r>
        <w:t>- Đối với nhiệm vụ rà soát, xác minh thông tin đất đai do UBND xã chủ trì (kết hợp nhiệm vụ 3.5 tại Kế hoạch số 515/KH-BCA-BNN&amp;MT ngày 31/8/2025 của Bộ Công an và Bộ Nông nghiệp và môi trường và nhiệm vụ 7.3 mục III tại Kế hoạch số 1828/KH-UBND ngày 09/4/2026 của UBND tỉnh): Tính đến ngày 04/6, tiến độ xác minh thông tin chủ sử dụng đất, xã Phú Trạch hiện có tỷ lệ thực hiện dưới mức trung bình toàn tỉnh.</w:t>
      </w:r>
    </w:p>
    <w:p>
      <w:pPr>
        <w:pStyle w:val="FootnoteText"/>
        <w:jc w:val="both"/>
      </w:pPr>
      <w:r>
        <w:t>Tính đến ngày 10/6/2026, trên hệ thống cơ sở dữ liệu thống kê tổng số thửa 61.664 (số liệu trên Hệ thống CSDL khác với số liệu theo Công văn 2456 của tỉnh là 62.483), trong đó: nhóm 1 “đúng - đủ - sạch - sống” đã đạt 19.728 thửa, chiếm 32,0%, nhóm 2 (đã có trong CSDL nhưng chưa đạt chuẩn) là 41.936 chiếm 68,0% đang tiếp tục rà soát để cập nhật, bổ sung các trường thông tin đang còn thiếu nhằm đảm bảo cơ sở dữ liệu "đúng - đủ - sạch - sống"</w:t>
      </w:r>
    </w:p>
    <w:p>
      <w:pPr>
        <w:pStyle w:val="FootnoteText"/>
        <w:jc w:val="both"/>
      </w:pPr>
      <w:r>
        <w:t xml:space="preserve">2. Thúc đẩy chi trả an sinh xã hội không dùng tiền mặt đối với người có công với cách mạng : Số công dân đã đăng ký tài khoản là 232/386 (chiếm 60,1%). UBND xã Phú Trạch hiện đang là một trong 36 xã có kết quả thấp hơn mức trung bình toàn tỉnh. Chỉ tiêu tỉnh giao năm 2026 là 70% </w:t>
      </w:r>
    </w:p>
    <w:p>
      <w:pPr>
        <w:pStyle w:val="FootnoteText"/>
        <w:jc w:val="both"/>
      </w:pPr>
      <w:r>
        <w:t>Thúc đẩy chi trả an sinh xã hội không dùng tiền mặt đối với đối tượng bảo trợ xã hội: Số công dân đã đăng ký tài khoản là 295/1551 (chiếm 19,1%). UBND xã Phú Trạch hiện đang là một trong 34 xã chưa đạt chỉ tiêu. Chỉ tiêu tỉnh giao năm 2026 là 40%</w:t>
      </w:r>
    </w:p>
    <w:p>
      <w:pPr>
        <w:pStyle w:val="FootnoteText"/>
        <w:jc w:val="both"/>
      </w:pPr>
      <w:r>
        <w:t>3. Tích hợp tài khoản hưởng ASXH trên ứng dụng VneID: Đến ngày 10/6/2026, đã tích hợp được 6.136/21.087 công dân đủ 15 tuổi, đạt 29,1%. Theo số liệu báo cáo của Công an tỉnh, UBND xã Phú Trạch tỷ lệ tích hợp chưa đạt chỉ tiêu đề ra, tuy nhiên đã có tỷ lệ cao hơn trung bình toàn tỉnh. Chỉ tiêu tỉnh giao năm 2026 là 100%</w:t>
      </w:r>
    </w:p>
    <w:p>
      <w:pPr>
        <w:pStyle w:val="FootnoteText"/>
        <w:jc w:val="both"/>
      </w:pPr>
      <w:r>
        <w:t>4. Triển khai tích hợp Sổ sức khoẻ điện tử trên ứng dụng VneID: Tính đến 10/6/2026, có 9936 thẻ bảo hiểm được tích hợp trên 21695 công dân đủ 14 tuổi, đạt tỷ lệ 45,8%. Chưa có số liệu tính trên số công dân tham gia bảo hiểm y tế có hiệu lực. Chỉ tiêu tỉnh giao năm 2026 là 80% người dân đủ điều kiện.</w:t>
      </w:r>
    </w:p>
    <w:p>
      <w:pPr>
        <w:pStyle w:val="FootnoteText"/>
        <w:jc w:val="both"/>
      </w:pPr>
      <w:r>
        <w:t xml:space="preserve">5. Triển khai cấp thẻ căn cước và tài khoản định danh điện tử mức độ 2 </w:t>
      </w:r>
    </w:p>
    <w:p>
      <w:pPr>
        <w:pStyle w:val="FootnoteText"/>
        <w:jc w:val="both"/>
      </w:pPr>
      <w:r>
        <w:t>Tính đến hết tháng 5/2026, công dân từ đủ 14 tuổi đã có định danh mức 2 là 18893/21695 công dân (đạt 87%) Chỉ tiêu tỉnh giao năm 2026 là 81%; số tài khoản định danh mức 2 đã kích hoạt là 17613/18893 công dân (đạt 93,2%)</w:t>
      </w:r>
    </w:p>
    <w:p>
      <w:pPr>
        <w:pStyle w:val="FootnoteText"/>
        <w:jc w:val="both"/>
      </w:pPr>
      <w:r>
        <w:t>- Công dân từ đủ 6 đến 14 tuổi có định danh mức 2 là 3234/4975, đạt 65%. Chỉ tiêu tỉnh giao năm 2026 là 100%</w:t>
      </w:r>
    </w:p>
    <w:p>
      <w:pPr>
        <w:pStyle w:val="FootnoteText"/>
        <w:jc w:val="both"/>
      </w:pPr>
      <w:r>
        <w:t>+ Số công dân sinh năm 2008: Đã được cấp định danh mức 2 là 372/418 (đạt 89%).</w:t>
      </w:r>
    </w:p>
    <w:p>
      <w:pPr>
        <w:pStyle w:val="FootnoteText"/>
        <w:jc w:val="both"/>
      </w:pPr>
      <w:r>
        <w:t>+ Số công dân sinh năm 2011: Đã được cấp định danh mức 2 là 437/552 (đạt tỷ lệ 79,2%).</w:t>
      </w:r>
    </w:p>
  </w:footnote>
  <w:footnote w:id="5">
    <w:p>
      <w:pPr>
        <w:pStyle w:val="FootnoteText"/>
        <w:jc w:val="both"/>
        <w:rPr>
          <w:color w:val="00B050"/>
        </w:rPr>
      </w:pPr>
      <w:r>
        <w:rPr>
          <w:color w:val="000000" w:themeColor="text1"/>
          <w:vertAlign w:val="superscript"/>
        </w:rPr>
        <w:t>(</w:t>
      </w:r>
      <w:r>
        <w:rPr>
          <w:rStyle w:val="FootnoteReference"/>
          <w:color w:val="000000" w:themeColor="text1"/>
        </w:rPr>
        <w:footnoteRef/>
      </w:r>
      <w:r>
        <w:rPr>
          <w:color w:val="000000" w:themeColor="text1"/>
          <w:vertAlign w:val="superscript"/>
        </w:rPr>
        <w:t>)</w:t>
      </w:r>
      <w:r>
        <w:rPr>
          <w:color w:val="000000" w:themeColor="text1"/>
        </w:rPr>
        <w:t xml:space="preserve"> Trong tháng đã thực hiện Khai sinh: 55, khai tử 16 , kết hôn: 21, cấp bản sao: 169, tình trạng hôn nhân: 60, thay đổi, cải chính, bổ sung hộ tịch: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363072"/>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5E964"/>
    <w:multiLevelType w:val="singleLevel"/>
    <w:tmpl w:val="0CE5E964"/>
    <w:lvl w:ilvl="0">
      <w:start w:val="1"/>
      <w:numFmt w:val="decimal"/>
      <w:suff w:val="space"/>
      <w:lvlText w:val="%1."/>
      <w:lvlJc w:val="left"/>
    </w:lvl>
  </w:abstractNum>
  <w:abstractNum w:abstractNumId="1">
    <w:nsid w:val="1D410F5B"/>
    <w:multiLevelType w:val="multilevel"/>
    <w:tmpl w:val="A3929522"/>
    <w:lvl w:ilvl="0">
      <w:start w:val="2"/>
      <w:numFmt w:val="decimal"/>
      <w:lvlText w:val="%1."/>
      <w:lvlJc w:val="left"/>
      <w:pPr>
        <w:ind w:left="450" w:hanging="450"/>
      </w:pPr>
      <w:rPr>
        <w:rFonts w:hint="default"/>
        <w:color w:val="000000"/>
      </w:rPr>
    </w:lvl>
    <w:lvl w:ilvl="1">
      <w:start w:val="1"/>
      <w:numFmt w:val="decimal"/>
      <w:lvlText w:val="%1.%2."/>
      <w:lvlJc w:val="left"/>
      <w:pPr>
        <w:ind w:left="2705"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2">
    <w:nsid w:val="7A432F67"/>
    <w:multiLevelType w:val="multilevel"/>
    <w:tmpl w:val="7B2A7336"/>
    <w:lvl w:ilvl="0">
      <w:start w:val="2"/>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C83FD4-BD8E-4BD5-B399-78E78D3C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Pr>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basedOn w:val="DefaultParagraphFont"/>
    <w:link w:val="CarattereCarattereCharCharCharCharCharCharZchn"/>
    <w:uiPriority w:val="99"/>
    <w:unhideWhenUsed/>
    <w:qFormat/>
    <w:rPr>
      <w:vertAlign w:val="superscript"/>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qFormat/>
    <w:pPr>
      <w:spacing w:after="120" w:line="240" w:lineRule="auto"/>
    </w:pPr>
    <w:rPr>
      <w:rFonts w:eastAsia="Times New Roman" w:cs="Times New Roman"/>
      <w:szCs w:val="28"/>
      <w:lang w:val="x-none" w:eastAsia="x-none"/>
    </w:rPr>
  </w:style>
  <w:style w:type="character" w:customStyle="1" w:styleId="BodyTextChar">
    <w:name w:val="Body Text Char"/>
    <w:basedOn w:val="DefaultParagraphFont"/>
    <w:link w:val="BodyText"/>
    <w:qFormat/>
    <w:rPr>
      <w:rFonts w:eastAsia="Times New Roman" w:cs="Times New Roman"/>
      <w:szCs w:val="28"/>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line="240" w:lineRule="exact"/>
    </w:pPr>
    <w:rPr>
      <w:vertAlign w:val="superscript"/>
    </w:rPr>
  </w:style>
  <w:style w:type="character" w:customStyle="1" w:styleId="fontstyle01">
    <w:name w:val="fontstyle01"/>
    <w:rPr>
      <w:rFonts w:ascii="TimesNewRomanPSMT" w:hAnsi="TimesNewRomanPSMT" w:hint="default"/>
      <w:b w:val="0"/>
      <w:bCs w:val="0"/>
      <w:i w:val="0"/>
      <w:iCs w:val="0"/>
      <w:color w:val="000000"/>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pPr>
      <w:suppressAutoHyphens/>
      <w:spacing w:before="100" w:beforeAutospacing="1" w:after="100" w:afterAutospacing="1" w:line="1" w:lineRule="atLeast"/>
      <w:ind w:leftChars="-1" w:left="-1" w:hangingChars="1" w:hanging="1"/>
      <w:textDirection w:val="btLr"/>
      <w:textAlignment w:val="top"/>
      <w:outlineLvl w:val="0"/>
    </w:pPr>
    <w:rPr>
      <w:rFonts w:ascii=".VnTime" w:eastAsia="Times New Roman" w:hAnsi=".VnTime" w:cs="Times New Roman"/>
      <w:position w:val="-1"/>
      <w:sz w:val="24"/>
      <w:szCs w:val="24"/>
      <w:lang w:val="vi-VN" w:eastAsia="vi-VN"/>
    </w:rPr>
  </w:style>
  <w:style w:type="character" w:styleId="Strong">
    <w:name w:val="Strong"/>
    <w:uiPriority w:val="22"/>
    <w:qFormat/>
    <w:rPr>
      <w:b/>
      <w:b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Pr>
      <w:rFonts w:ascii=".VnTime" w:eastAsia="Times New Roman" w:hAnsi=".VnTime" w:cs="Times New Roman"/>
      <w:position w:val="-1"/>
      <w:sz w:val="24"/>
      <w:szCs w:val="24"/>
      <w:lang w:val="vi-VN" w:eastAsia="vi-VN"/>
    </w:rPr>
  </w:style>
  <w:style w:type="character" w:styleId="Emphasis">
    <w:name w:val="Emphasis"/>
    <w:qFormat/>
    <w:rPr>
      <w:i/>
      <w:iCs/>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57171-C5A3-428E-B63F-F777EC5C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3693</Words>
  <Characters>21052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2026-05-15T07:00:00Z</cp:lastPrinted>
  <dcterms:created xsi:type="dcterms:W3CDTF">2026-06-12T03:44:00Z</dcterms:created>
  <dcterms:modified xsi:type="dcterms:W3CDTF">2026-06-12T03:51:00Z</dcterms:modified>
</cp:coreProperties>
</file>